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A8C41" w14:textId="38F0CC12" w:rsidR="004C21EE" w:rsidRPr="00F74EE9" w:rsidRDefault="00F74EE9" w:rsidP="004C21EE">
      <w:pPr>
        <w:spacing w:before="76"/>
        <w:ind w:right="19"/>
        <w:jc w:val="center"/>
        <w:rPr>
          <w:sz w:val="28"/>
          <w:szCs w:val="24"/>
        </w:rPr>
      </w:pPr>
      <w:r w:rsidRPr="0098396F">
        <w:rPr>
          <w:rFonts w:eastAsia="PingFang TC" w:hint="eastAsia"/>
          <w:b/>
          <w:bCs/>
          <w:color w:val="FF0000"/>
          <w:sz w:val="28"/>
          <w:szCs w:val="24"/>
          <w:lang w:eastAsia="zh-TW"/>
        </w:rPr>
        <w:t>SOCAC</w:t>
      </w:r>
      <w:r w:rsidRPr="0098396F">
        <w:rPr>
          <w:rFonts w:eastAsia="PingFang TC" w:hint="eastAsia"/>
          <w:color w:val="FF0000"/>
          <w:sz w:val="28"/>
          <w:szCs w:val="24"/>
          <w:lang w:eastAsia="zh-TW"/>
        </w:rPr>
        <w:t xml:space="preserve"> </w:t>
      </w:r>
      <w:r>
        <w:rPr>
          <w:rFonts w:eastAsia="PingFang TC" w:hint="eastAsia"/>
          <w:sz w:val="28"/>
          <w:szCs w:val="24"/>
          <w:lang w:eastAsia="zh-TW"/>
        </w:rPr>
        <w:t xml:space="preserve">or </w:t>
      </w:r>
      <w:r w:rsidRPr="0098396F">
        <w:rPr>
          <w:rFonts w:eastAsia="PingFang TC" w:hint="eastAsia"/>
          <w:b/>
          <w:bCs/>
          <w:color w:val="FF0000"/>
          <w:sz w:val="28"/>
          <w:szCs w:val="24"/>
          <w:lang w:eastAsia="zh-TW"/>
        </w:rPr>
        <w:t>RACTSI</w:t>
      </w:r>
      <w:r w:rsidRPr="0098396F">
        <w:rPr>
          <w:rFonts w:eastAsia="PingFang TC" w:hint="eastAsia"/>
          <w:color w:val="FF0000"/>
          <w:sz w:val="28"/>
          <w:szCs w:val="24"/>
          <w:lang w:eastAsia="zh-TW"/>
        </w:rPr>
        <w:t xml:space="preserve"> </w:t>
      </w:r>
      <w:r>
        <w:rPr>
          <w:rFonts w:eastAsia="PingFang TC"/>
          <w:sz w:val="28"/>
          <w:szCs w:val="24"/>
          <w:lang w:eastAsia="zh-TW"/>
        </w:rPr>
        <w:br/>
      </w:r>
      <w:r w:rsidRPr="0098396F">
        <w:rPr>
          <w:rFonts w:eastAsia="PingFang TC"/>
          <w:b/>
          <w:bCs/>
          <w:color w:val="FF0000"/>
          <w:sz w:val="28"/>
          <w:szCs w:val="24"/>
          <w:lang w:eastAsia="zh-TW"/>
        </w:rPr>
        <w:t>ID#</w:t>
      </w:r>
    </w:p>
    <w:p w14:paraId="4D435F25" w14:textId="77777777" w:rsidR="004C21EE" w:rsidRDefault="004C21EE" w:rsidP="004C21EE">
      <w:pPr>
        <w:pStyle w:val="BodyText"/>
        <w:rPr>
          <w:sz w:val="26"/>
        </w:rPr>
      </w:pPr>
    </w:p>
    <w:p w14:paraId="2CA5FDDC" w14:textId="77777777" w:rsidR="004C21EE" w:rsidRDefault="004C21EE" w:rsidP="004C21EE">
      <w:pPr>
        <w:pStyle w:val="BodyText"/>
        <w:spacing w:before="3"/>
        <w:rPr>
          <w:sz w:val="22"/>
        </w:rPr>
      </w:pPr>
    </w:p>
    <w:p w14:paraId="7708BE94" w14:textId="77777777" w:rsidR="004C21EE" w:rsidRDefault="004C21EE" w:rsidP="004C21EE">
      <w:pPr>
        <w:ind w:left="1532" w:right="1387"/>
        <w:jc w:val="center"/>
        <w:rPr>
          <w:b/>
          <w:sz w:val="24"/>
        </w:rPr>
      </w:pPr>
      <w:r>
        <w:rPr>
          <w:b/>
          <w:sz w:val="24"/>
        </w:rPr>
        <w:t xml:space="preserve">Response Surface Metamodel-based Performance Reliability for Reinforced Concrete Beams Strengthened with FRP sheets </w:t>
      </w:r>
    </w:p>
    <w:p w14:paraId="258435EB" w14:textId="77777777" w:rsidR="004C21EE" w:rsidRDefault="004C21EE" w:rsidP="004C21EE">
      <w:pPr>
        <w:ind w:left="1532" w:right="1387"/>
        <w:jc w:val="center"/>
        <w:rPr>
          <w:b/>
          <w:sz w:val="24"/>
        </w:rPr>
      </w:pPr>
      <w:r w:rsidRPr="00B824FC">
        <w:rPr>
          <w:b/>
          <w:sz w:val="24"/>
          <w:highlight w:val="yellow"/>
        </w:rPr>
        <w:t>(Max 70 characters)</w:t>
      </w:r>
    </w:p>
    <w:p w14:paraId="5C153F7A" w14:textId="77777777" w:rsidR="004C21EE" w:rsidRDefault="004C21EE" w:rsidP="004C21EE">
      <w:pPr>
        <w:pStyle w:val="BodyText"/>
        <w:spacing w:before="9"/>
        <w:rPr>
          <w:b/>
          <w:sz w:val="23"/>
        </w:rPr>
      </w:pPr>
    </w:p>
    <w:p w14:paraId="3631139F" w14:textId="77777777" w:rsidR="004C21EE" w:rsidRDefault="004C21EE" w:rsidP="004C21EE">
      <w:pPr>
        <w:ind w:left="1532" w:right="1389"/>
        <w:jc w:val="center"/>
        <w:rPr>
          <w:sz w:val="24"/>
        </w:rPr>
      </w:pPr>
      <w:r w:rsidRPr="00932426">
        <w:rPr>
          <w:sz w:val="24"/>
          <w:u w:val="single"/>
        </w:rPr>
        <w:t>Authors 1</w:t>
      </w:r>
      <w:r>
        <w:rPr>
          <w:sz w:val="24"/>
        </w:rPr>
        <w:t xml:space="preserve">, Authors </w:t>
      </w:r>
      <w:proofErr w:type="gramStart"/>
      <w:r>
        <w:rPr>
          <w:sz w:val="24"/>
        </w:rPr>
        <w:t>2</w:t>
      </w:r>
      <w:r w:rsidR="00932426">
        <w:rPr>
          <w:sz w:val="24"/>
        </w:rPr>
        <w:t>,…</w:t>
      </w:r>
      <w:proofErr w:type="gramEnd"/>
      <w:r w:rsidR="00932426">
        <w:rPr>
          <w:sz w:val="24"/>
        </w:rPr>
        <w:t>.</w:t>
      </w:r>
    </w:p>
    <w:p w14:paraId="13CA8E9C" w14:textId="2C46850B" w:rsidR="004C21EE" w:rsidRDefault="00932426" w:rsidP="00932426">
      <w:pPr>
        <w:pStyle w:val="BodyText"/>
        <w:jc w:val="center"/>
        <w:rPr>
          <w:sz w:val="26"/>
        </w:rPr>
      </w:pPr>
      <w:r w:rsidRPr="00932426">
        <w:rPr>
          <w:sz w:val="26"/>
          <w:highlight w:val="yellow"/>
        </w:rPr>
        <w:t xml:space="preserve">(Underline the speaker in </w:t>
      </w:r>
      <w:r w:rsidR="00784F78">
        <w:rPr>
          <w:rFonts w:hint="eastAsia"/>
          <w:sz w:val="26"/>
          <w:highlight w:val="yellow"/>
          <w:lang w:eastAsia="zh-TW"/>
        </w:rPr>
        <w:t>Munich</w:t>
      </w:r>
      <w:r w:rsidRPr="00932426">
        <w:rPr>
          <w:sz w:val="26"/>
          <w:highlight w:val="yellow"/>
        </w:rPr>
        <w:t>)</w:t>
      </w:r>
    </w:p>
    <w:p w14:paraId="5CCDB3F6" w14:textId="77777777" w:rsidR="00932426" w:rsidRDefault="00932426" w:rsidP="004C21EE">
      <w:pPr>
        <w:pStyle w:val="BodyText"/>
        <w:rPr>
          <w:sz w:val="26"/>
        </w:rPr>
      </w:pPr>
    </w:p>
    <w:p w14:paraId="5A7DD489" w14:textId="77777777" w:rsidR="004C21EE" w:rsidRPr="00B824FC" w:rsidRDefault="004C21EE" w:rsidP="004C21EE">
      <w:pPr>
        <w:pStyle w:val="BodyText"/>
        <w:rPr>
          <w:sz w:val="26"/>
          <w:highlight w:val="yellow"/>
        </w:rPr>
      </w:pPr>
      <w:r w:rsidRPr="00B824FC">
        <w:rPr>
          <w:sz w:val="26"/>
          <w:highlight w:val="yellow"/>
        </w:rPr>
        <w:t>NOTE: The title, names, text, equations, tables and figures have been altered and pasted from different manuscript for the purpose of format illustration ONLY.</w:t>
      </w:r>
    </w:p>
    <w:p w14:paraId="284F6263" w14:textId="77777777" w:rsidR="004C21EE" w:rsidRDefault="004C21EE" w:rsidP="004C21EE">
      <w:pPr>
        <w:pStyle w:val="BodyText"/>
        <w:rPr>
          <w:sz w:val="26"/>
        </w:rPr>
      </w:pPr>
      <w:r w:rsidRPr="00B824FC">
        <w:rPr>
          <w:sz w:val="26"/>
          <w:highlight w:val="yellow"/>
        </w:rPr>
        <w:t>This format can be used as a template to copy and paste your manuscript titles and sections</w:t>
      </w:r>
    </w:p>
    <w:p w14:paraId="087E48E9" w14:textId="77777777" w:rsidR="004C21EE" w:rsidRDefault="004C21EE" w:rsidP="004C21EE">
      <w:pPr>
        <w:pStyle w:val="BodyText"/>
        <w:spacing w:before="230"/>
        <w:ind w:right="19"/>
        <w:jc w:val="both"/>
      </w:pPr>
      <w:r>
        <w:rPr>
          <w:b/>
          <w:u w:val="single"/>
        </w:rPr>
        <w:t>Synopsis</w:t>
      </w:r>
      <w:r>
        <w:t xml:space="preserve">: </w:t>
      </w:r>
      <w:r w:rsidRPr="004C21EE">
        <w:t xml:space="preserve">A detailed investigation on the concrete specimens (3.94 in. [100 mm] diameter and 7.87 in. [200 mm] height) </w:t>
      </w:r>
      <w:r w:rsidRPr="004C21EE">
        <w:rPr>
          <w:highlight w:val="yellow"/>
        </w:rPr>
        <w:t>(Units of measurement must be in dual units)</w:t>
      </w:r>
      <w:r w:rsidRPr="004C21EE">
        <w:t xml:space="preserve"> made with different chemical admixtures was carried out after 10 years of tidal exposure. Chemical admixtures include air-entraining admixture (</w:t>
      </w:r>
      <w:proofErr w:type="spellStart"/>
      <w:r w:rsidRPr="004C21EE">
        <w:t>vinsol</w:t>
      </w:r>
      <w:proofErr w:type="spellEnd"/>
      <w:r w:rsidRPr="004C21EE">
        <w:t>), water-reducing admixture (</w:t>
      </w:r>
      <w:proofErr w:type="spellStart"/>
      <w:r w:rsidRPr="004C21EE">
        <w:t>lingosulfonate</w:t>
      </w:r>
      <w:proofErr w:type="spellEnd"/>
      <w:r w:rsidRPr="004C21EE">
        <w:t xml:space="preserve"> group), various high-range water-reducing and air-entraining admixtures (naphthalene, melamine, </w:t>
      </w:r>
      <w:proofErr w:type="spellStart"/>
      <w:r w:rsidRPr="004C21EE">
        <w:t>polycarboxyl</w:t>
      </w:r>
      <w:proofErr w:type="spellEnd"/>
      <w:r w:rsidRPr="004C21EE">
        <w:t xml:space="preserve"> and amino-sulfonate group) and drying-shrinkage-reducing admixture (glycol ether plus amino alcohol derivatives). The specimens were tested for compressive strength, Young’s modulus of elasticity, carbonation depths, chloride ingress, pore size distribution, electrochemical and physical evaluation of steel bar’s corrosion in concrete, examination of steel-concrete interfaces, and mineralogy of the mortar portions of concrete………</w:t>
      </w:r>
      <w:proofErr w:type="gramStart"/>
      <w:r w:rsidRPr="004C21EE">
        <w:t>…..</w:t>
      </w:r>
      <w:proofErr w:type="gramEnd"/>
      <w:r w:rsidRPr="004C21EE">
        <w:rPr>
          <w:highlight w:val="yellow"/>
        </w:rPr>
        <w:t xml:space="preserve"> </w:t>
      </w:r>
      <w:r w:rsidRPr="00B824FC">
        <w:rPr>
          <w:highlight w:val="yellow"/>
        </w:rPr>
        <w:t xml:space="preserve">(MAX </w:t>
      </w:r>
      <w:r>
        <w:rPr>
          <w:highlight w:val="yellow"/>
        </w:rPr>
        <w:t>20</w:t>
      </w:r>
      <w:r w:rsidRPr="00B824FC">
        <w:rPr>
          <w:highlight w:val="yellow"/>
        </w:rPr>
        <w:t>0 WORDS)</w:t>
      </w:r>
    </w:p>
    <w:p w14:paraId="6FBFB70F" w14:textId="77777777" w:rsidR="004C21EE" w:rsidRDefault="004C21EE" w:rsidP="004C21EE">
      <w:pPr>
        <w:pStyle w:val="BodyText"/>
        <w:rPr>
          <w:sz w:val="22"/>
        </w:rPr>
      </w:pPr>
    </w:p>
    <w:p w14:paraId="28DE9EEE" w14:textId="77777777" w:rsidR="004C21EE" w:rsidRDefault="004C21EE" w:rsidP="004C21EE">
      <w:pPr>
        <w:pStyle w:val="BodyText"/>
        <w:rPr>
          <w:sz w:val="22"/>
        </w:rPr>
      </w:pPr>
    </w:p>
    <w:p w14:paraId="7F83DA43" w14:textId="77777777" w:rsidR="004C21EE" w:rsidRDefault="004C21EE" w:rsidP="004C21EE">
      <w:pPr>
        <w:pStyle w:val="BodyText"/>
        <w:rPr>
          <w:sz w:val="22"/>
        </w:rPr>
      </w:pPr>
    </w:p>
    <w:p w14:paraId="00593953" w14:textId="77777777" w:rsidR="004C21EE" w:rsidRDefault="004C21EE" w:rsidP="004C21EE">
      <w:pPr>
        <w:pStyle w:val="BodyText"/>
        <w:rPr>
          <w:sz w:val="22"/>
        </w:rPr>
      </w:pPr>
    </w:p>
    <w:p w14:paraId="79F8D7BA" w14:textId="77777777" w:rsidR="004C21EE" w:rsidRDefault="004C21EE" w:rsidP="004C21EE">
      <w:pPr>
        <w:pStyle w:val="BodyText"/>
        <w:rPr>
          <w:sz w:val="22"/>
        </w:rPr>
      </w:pPr>
    </w:p>
    <w:p w14:paraId="5A78EBB6" w14:textId="77777777" w:rsidR="004C21EE" w:rsidRDefault="004C21EE" w:rsidP="004C21EE">
      <w:pPr>
        <w:pStyle w:val="BodyText"/>
        <w:rPr>
          <w:sz w:val="22"/>
        </w:rPr>
      </w:pPr>
    </w:p>
    <w:p w14:paraId="6BF797FB" w14:textId="77777777" w:rsidR="004C21EE" w:rsidRDefault="004C21EE" w:rsidP="004C21EE">
      <w:pPr>
        <w:pStyle w:val="BodyText"/>
        <w:rPr>
          <w:sz w:val="22"/>
        </w:rPr>
      </w:pPr>
    </w:p>
    <w:p w14:paraId="148E637C" w14:textId="77777777" w:rsidR="004C21EE" w:rsidRDefault="004C21EE" w:rsidP="004C21EE">
      <w:pPr>
        <w:pStyle w:val="BodyText"/>
        <w:rPr>
          <w:sz w:val="22"/>
        </w:rPr>
      </w:pPr>
    </w:p>
    <w:p w14:paraId="358B43B8" w14:textId="77777777" w:rsidR="004C21EE" w:rsidRDefault="004C21EE" w:rsidP="004C21EE">
      <w:pPr>
        <w:pStyle w:val="BodyText"/>
        <w:rPr>
          <w:sz w:val="22"/>
        </w:rPr>
      </w:pPr>
    </w:p>
    <w:p w14:paraId="3AB1C21C" w14:textId="77777777" w:rsidR="004C21EE" w:rsidRDefault="004C21EE" w:rsidP="004C21EE">
      <w:pPr>
        <w:pStyle w:val="BodyText"/>
        <w:rPr>
          <w:sz w:val="22"/>
        </w:rPr>
      </w:pPr>
    </w:p>
    <w:p w14:paraId="507084F6" w14:textId="77777777" w:rsidR="004C21EE" w:rsidRDefault="004C21EE" w:rsidP="004C21EE">
      <w:pPr>
        <w:pStyle w:val="BodyText"/>
        <w:rPr>
          <w:sz w:val="22"/>
        </w:rPr>
      </w:pPr>
    </w:p>
    <w:p w14:paraId="07A9B493" w14:textId="77777777" w:rsidR="004C21EE" w:rsidRDefault="004C21EE" w:rsidP="004C21EE">
      <w:pPr>
        <w:pStyle w:val="BodyText"/>
        <w:rPr>
          <w:sz w:val="22"/>
        </w:rPr>
      </w:pPr>
    </w:p>
    <w:p w14:paraId="148131C3" w14:textId="77777777" w:rsidR="004C21EE" w:rsidRDefault="004C21EE" w:rsidP="004C21EE">
      <w:pPr>
        <w:pStyle w:val="BodyText"/>
        <w:rPr>
          <w:sz w:val="22"/>
        </w:rPr>
      </w:pPr>
    </w:p>
    <w:p w14:paraId="3B5ECED2" w14:textId="77777777" w:rsidR="004C21EE" w:rsidRDefault="004C21EE" w:rsidP="004C21EE">
      <w:pPr>
        <w:pStyle w:val="BodyText"/>
        <w:rPr>
          <w:sz w:val="22"/>
        </w:rPr>
      </w:pPr>
    </w:p>
    <w:p w14:paraId="3F3124FB" w14:textId="77777777" w:rsidR="004C21EE" w:rsidRDefault="004C21EE" w:rsidP="004C21EE">
      <w:pPr>
        <w:pStyle w:val="BodyText"/>
        <w:rPr>
          <w:sz w:val="22"/>
        </w:rPr>
      </w:pPr>
    </w:p>
    <w:p w14:paraId="5B649117" w14:textId="77777777" w:rsidR="004C21EE" w:rsidRDefault="004C21EE" w:rsidP="004C21EE">
      <w:pPr>
        <w:pStyle w:val="BodyText"/>
        <w:rPr>
          <w:sz w:val="22"/>
        </w:rPr>
      </w:pPr>
    </w:p>
    <w:p w14:paraId="3C1F0C60" w14:textId="77777777" w:rsidR="004C21EE" w:rsidRDefault="004C21EE" w:rsidP="004C21EE">
      <w:pPr>
        <w:pStyle w:val="BodyText"/>
        <w:rPr>
          <w:sz w:val="22"/>
        </w:rPr>
      </w:pPr>
    </w:p>
    <w:p w14:paraId="0E2AA3BB" w14:textId="77777777" w:rsidR="004C21EE" w:rsidRDefault="004C21EE" w:rsidP="004C21EE">
      <w:pPr>
        <w:pStyle w:val="BodyText"/>
        <w:rPr>
          <w:sz w:val="22"/>
        </w:rPr>
      </w:pPr>
    </w:p>
    <w:p w14:paraId="14D80325" w14:textId="77777777" w:rsidR="004C21EE" w:rsidRDefault="004C21EE" w:rsidP="004C21EE">
      <w:pPr>
        <w:pStyle w:val="BodyText"/>
        <w:rPr>
          <w:sz w:val="22"/>
        </w:rPr>
      </w:pPr>
    </w:p>
    <w:p w14:paraId="3DFD5D7C" w14:textId="77777777" w:rsidR="004C21EE" w:rsidRDefault="004C21EE" w:rsidP="004C21EE">
      <w:pPr>
        <w:pStyle w:val="BodyText"/>
        <w:rPr>
          <w:sz w:val="22"/>
        </w:rPr>
      </w:pPr>
    </w:p>
    <w:p w14:paraId="3BF83CFB" w14:textId="77777777" w:rsidR="004C21EE" w:rsidRDefault="004C21EE" w:rsidP="004C21EE">
      <w:pPr>
        <w:pStyle w:val="BodyText"/>
        <w:rPr>
          <w:sz w:val="22"/>
        </w:rPr>
      </w:pPr>
    </w:p>
    <w:p w14:paraId="3D484858" w14:textId="77777777" w:rsidR="004C21EE" w:rsidRDefault="004C21EE" w:rsidP="004C21EE">
      <w:pPr>
        <w:rPr>
          <w:b/>
          <w:u w:val="single"/>
        </w:rPr>
      </w:pPr>
    </w:p>
    <w:p w14:paraId="190C25AC" w14:textId="77777777" w:rsidR="004C21EE" w:rsidRDefault="004C21EE" w:rsidP="004C21EE">
      <w:pPr>
        <w:rPr>
          <w:b/>
          <w:u w:val="single"/>
        </w:rPr>
      </w:pPr>
    </w:p>
    <w:p w14:paraId="020DF8D3" w14:textId="77777777" w:rsidR="004C21EE" w:rsidRDefault="004C21EE" w:rsidP="004C21EE">
      <w:pPr>
        <w:rPr>
          <w:b/>
          <w:u w:val="single"/>
        </w:rPr>
      </w:pPr>
    </w:p>
    <w:p w14:paraId="6D0F791C" w14:textId="77777777" w:rsidR="004C21EE" w:rsidRDefault="004C21EE" w:rsidP="004C21EE">
      <w:pPr>
        <w:rPr>
          <w:b/>
          <w:u w:val="single"/>
        </w:rPr>
      </w:pPr>
    </w:p>
    <w:p w14:paraId="05A62BCD" w14:textId="77777777" w:rsidR="004C21EE" w:rsidRPr="007300EA" w:rsidRDefault="004C21EE" w:rsidP="007300EA">
      <w:r>
        <w:rPr>
          <w:b/>
          <w:u w:val="single"/>
        </w:rPr>
        <w:t>Keywords</w:t>
      </w:r>
      <w:r>
        <w:rPr>
          <w:b/>
        </w:rPr>
        <w:t xml:space="preserve">: </w:t>
      </w:r>
      <w:r>
        <w:t xml:space="preserve">Chemical admixtures; Chloride ingress; Corrosion; Durability; …. </w:t>
      </w:r>
      <w:r w:rsidRPr="00B824FC">
        <w:rPr>
          <w:highlight w:val="yellow"/>
        </w:rPr>
        <w:t>(MAX 9 KEYWORD</w:t>
      </w:r>
      <w:r>
        <w:t>)</w:t>
      </w:r>
    </w:p>
    <w:p w14:paraId="52EB0ED8" w14:textId="77777777" w:rsidR="004C21EE" w:rsidRDefault="004C21EE" w:rsidP="004C21EE">
      <w:pPr>
        <w:pStyle w:val="Heading2"/>
        <w:ind w:left="0" w:right="19"/>
      </w:pPr>
      <w:r>
        <w:t>INTRODUCTION</w:t>
      </w:r>
    </w:p>
    <w:p w14:paraId="1EA5573A" w14:textId="77777777" w:rsidR="003F50D7" w:rsidRDefault="003F50D7" w:rsidP="004C21EE">
      <w:pPr>
        <w:pStyle w:val="Heading2"/>
        <w:ind w:left="0" w:right="19"/>
      </w:pPr>
    </w:p>
    <w:p w14:paraId="48100EFB" w14:textId="77777777" w:rsidR="004C21EE" w:rsidRDefault="004C21EE" w:rsidP="004C21EE">
      <w:pPr>
        <w:pStyle w:val="BodyText"/>
        <w:ind w:right="19"/>
        <w:jc w:val="both"/>
      </w:pPr>
      <w:r w:rsidRPr="004C21EE">
        <w:rPr>
          <w:rFonts w:hint="eastAsia"/>
        </w:rPr>
        <w:t xml:space="preserve">Water-reducing chemical admixtures are used to produce concrete of higher strength, obtain a specified strength at lower </w:t>
      </w:r>
      <w:r w:rsidRPr="004C21EE">
        <w:t>water-cementitious ratios (</w:t>
      </w:r>
      <w:r w:rsidRPr="004C21EE">
        <w:rPr>
          <w:i/>
          <w:iCs/>
        </w:rPr>
        <w:t>w/c</w:t>
      </w:r>
      <w:r w:rsidRPr="004C21EE">
        <w:t>)</w:t>
      </w:r>
      <w:r w:rsidRPr="004C21EE">
        <w:rPr>
          <w:rFonts w:hint="eastAsia"/>
        </w:rPr>
        <w:t>, or increase the slump of a given mix</w:t>
      </w:r>
      <w:r w:rsidRPr="004C21EE">
        <w:t>ture</w:t>
      </w:r>
      <w:r w:rsidRPr="004C21EE">
        <w:rPr>
          <w:rFonts w:hint="eastAsia"/>
        </w:rPr>
        <w:t xml:space="preserve"> without an increase in water content. Numerous studies on the properties of fresh concrete mixed with </w:t>
      </w:r>
      <w:r w:rsidRPr="004C21EE">
        <w:t>different</w:t>
      </w:r>
      <w:r w:rsidRPr="004C21EE">
        <w:rPr>
          <w:rFonts w:hint="eastAsia"/>
        </w:rPr>
        <w:t xml:space="preserve"> chemical admixtures were carried out to investigate the fresh concrete properties or the concrete </w:t>
      </w:r>
      <w:r w:rsidRPr="004C21EE">
        <w:t>properties</w:t>
      </w:r>
      <w:r w:rsidRPr="004C21EE">
        <w:rPr>
          <w:rFonts w:hint="eastAsia"/>
        </w:rPr>
        <w:t xml:space="preserve"> at </w:t>
      </w:r>
      <w:r w:rsidRPr="004C21EE">
        <w:t>an</w:t>
      </w:r>
      <w:r w:rsidRPr="004C21EE">
        <w:rPr>
          <w:rFonts w:hint="eastAsia"/>
        </w:rPr>
        <w:t xml:space="preserve"> early age of exposure. There were also several international conferences held focusing on the chemical admixtures in the last couple of decades. </w:t>
      </w:r>
      <w:r w:rsidRPr="004C21EE">
        <w:t>Detailed</w:t>
      </w:r>
      <w:r w:rsidRPr="004C21EE">
        <w:rPr>
          <w:rFonts w:hint="eastAsia"/>
        </w:rPr>
        <w:t xml:space="preserve"> studies on the long-term performance of concrete mixed with different chemical admixtures</w:t>
      </w:r>
      <w:r w:rsidRPr="004C21EE">
        <w:t>, however,</w:t>
      </w:r>
      <w:r w:rsidRPr="004C21EE">
        <w:rPr>
          <w:rFonts w:hint="eastAsia"/>
        </w:rPr>
        <w:t xml:space="preserve"> are very scarce in </w:t>
      </w:r>
      <w:r w:rsidRPr="004C21EE">
        <w:t>the</w:t>
      </w:r>
      <w:r w:rsidRPr="004C21EE">
        <w:rPr>
          <w:rFonts w:hint="eastAsia"/>
        </w:rPr>
        <w:t xml:space="preserve"> technical literature. Therefore, studies on the long-term performance of chemical admixtures will </w:t>
      </w:r>
      <w:r w:rsidRPr="004C21EE">
        <w:t>be. …………….</w:t>
      </w:r>
      <w:r w:rsidRPr="004C21EE">
        <w:rPr>
          <w:rFonts w:hint="eastAsia"/>
        </w:rPr>
        <w:t xml:space="preserve">  </w:t>
      </w:r>
    </w:p>
    <w:p w14:paraId="2B1B94E4" w14:textId="77777777" w:rsidR="004C21EE" w:rsidRPr="004C21EE" w:rsidRDefault="004C21EE" w:rsidP="004C21EE">
      <w:pPr>
        <w:pStyle w:val="BodyText"/>
        <w:ind w:right="19"/>
        <w:jc w:val="both"/>
      </w:pPr>
    </w:p>
    <w:p w14:paraId="5C2BC345" w14:textId="77777777" w:rsidR="004C21EE" w:rsidRDefault="004C21EE" w:rsidP="003F50D7">
      <w:pPr>
        <w:pStyle w:val="Heading2"/>
        <w:spacing w:line="240" w:lineRule="auto"/>
        <w:ind w:left="0"/>
      </w:pPr>
      <w:r>
        <w:t xml:space="preserve">RESEARCH SIGNIFICANCE </w:t>
      </w:r>
      <w:r w:rsidRPr="004C21EE">
        <w:rPr>
          <w:highlight w:val="yellow"/>
        </w:rPr>
        <w:t>(MAX 100 WORDS)</w:t>
      </w:r>
    </w:p>
    <w:p w14:paraId="15EF231B" w14:textId="77777777" w:rsidR="004C21EE" w:rsidRDefault="004C21EE" w:rsidP="004C21EE">
      <w:pPr>
        <w:pStyle w:val="BodyText"/>
        <w:ind w:right="19"/>
        <w:jc w:val="both"/>
      </w:pPr>
    </w:p>
    <w:p w14:paraId="12229203" w14:textId="77777777" w:rsidR="004C21EE" w:rsidRDefault="004C21EE" w:rsidP="003F50D7">
      <w:pPr>
        <w:pStyle w:val="BodyText"/>
        <w:jc w:val="both"/>
      </w:pPr>
      <w:r w:rsidRPr="004C21EE">
        <w:t>Different</w:t>
      </w:r>
      <w:r w:rsidRPr="004C21EE">
        <w:rPr>
          <w:rFonts w:hint="eastAsia"/>
        </w:rPr>
        <w:t xml:space="preserve"> types of high-range water-reducing and air-entraining chemical admixtures were developed in the last couple of decades. Most of the studies on these admixtures were carried out to judge the properties of fresh concrete, or the properties of concrete at </w:t>
      </w:r>
      <w:r w:rsidRPr="004C21EE">
        <w:t>an</w:t>
      </w:r>
      <w:r w:rsidRPr="004C21EE">
        <w:rPr>
          <w:rFonts w:hint="eastAsia"/>
        </w:rPr>
        <w:t xml:space="preserve"> early age. Studies on the long-term performance of concrete made with different water-reducing admixtures are very scarce in the technical literatures. The authors believe that this detail study dealing with the long-term performance of </w:t>
      </w:r>
      <w:r w:rsidRPr="004C21EE">
        <w:t>different</w:t>
      </w:r>
      <w:r w:rsidRPr="004C21EE">
        <w:rPr>
          <w:rFonts w:hint="eastAsia"/>
        </w:rPr>
        <w:t xml:space="preserve"> chemical admixtures is carried out </w:t>
      </w:r>
      <w:r w:rsidRPr="004C21EE">
        <w:t>for</w:t>
      </w:r>
      <w:r w:rsidRPr="004C21EE">
        <w:rPr>
          <w:rFonts w:hint="eastAsia"/>
        </w:rPr>
        <w:t xml:space="preserve"> the first time and will be very useful to concrete technology</w:t>
      </w:r>
      <w:r w:rsidRPr="004C21EE">
        <w:t>.</w:t>
      </w:r>
      <w:r w:rsidRPr="004C21EE">
        <w:rPr>
          <w:rFonts w:hint="eastAsia"/>
        </w:rPr>
        <w:t xml:space="preserve">   </w:t>
      </w:r>
    </w:p>
    <w:p w14:paraId="53483057" w14:textId="77777777" w:rsidR="004C21EE" w:rsidRPr="004C21EE" w:rsidRDefault="004C21EE" w:rsidP="004C21EE">
      <w:pPr>
        <w:pStyle w:val="HEADING10"/>
        <w:rPr>
          <w:sz w:val="21"/>
          <w:szCs w:val="21"/>
        </w:rPr>
      </w:pPr>
      <w:r w:rsidRPr="004C21EE">
        <w:rPr>
          <w:bCs/>
          <w:sz w:val="21"/>
          <w:szCs w:val="21"/>
        </w:rPr>
        <w:t xml:space="preserve">Experimental Investigation </w:t>
      </w:r>
      <w:r w:rsidRPr="004C21EE">
        <w:rPr>
          <w:sz w:val="21"/>
          <w:szCs w:val="21"/>
          <w:highlight w:val="yellow"/>
        </w:rPr>
        <w:t>(or Experimental Procedure)</w:t>
      </w:r>
    </w:p>
    <w:p w14:paraId="13735CBD" w14:textId="77777777" w:rsidR="004C21EE" w:rsidRDefault="004C21EE" w:rsidP="004C21EE">
      <w:pPr>
        <w:pStyle w:val="BODYNOINDENT"/>
        <w:spacing w:line="240" w:lineRule="auto"/>
        <w:rPr>
          <w:sz w:val="20"/>
          <w:szCs w:val="20"/>
        </w:rPr>
      </w:pPr>
      <w:r w:rsidRPr="004C21EE">
        <w:rPr>
          <w:rFonts w:hint="eastAsia"/>
          <w:sz w:val="20"/>
          <w:szCs w:val="20"/>
        </w:rPr>
        <w:t xml:space="preserve">Cylinder specimens with and without steel reinforcements </w:t>
      </w:r>
      <w:r w:rsidRPr="004C21EE">
        <w:rPr>
          <w:sz w:val="20"/>
          <w:szCs w:val="20"/>
        </w:rPr>
        <w:t>(3.94 in. [</w:t>
      </w:r>
      <w:r w:rsidRPr="004C21EE">
        <w:rPr>
          <w:rFonts w:hint="eastAsia"/>
          <w:sz w:val="20"/>
          <w:szCs w:val="20"/>
        </w:rPr>
        <w:t>100 mm</w:t>
      </w:r>
      <w:r w:rsidRPr="004C21EE">
        <w:rPr>
          <w:sz w:val="20"/>
          <w:szCs w:val="20"/>
        </w:rPr>
        <w:t>]</w:t>
      </w:r>
      <w:r w:rsidRPr="004C21EE">
        <w:rPr>
          <w:rFonts w:hint="eastAsia"/>
          <w:sz w:val="20"/>
          <w:szCs w:val="20"/>
        </w:rPr>
        <w:t xml:space="preserve"> diameter and </w:t>
      </w:r>
      <w:r w:rsidRPr="004C21EE">
        <w:rPr>
          <w:sz w:val="20"/>
          <w:szCs w:val="20"/>
        </w:rPr>
        <w:t>7.87 in. [</w:t>
      </w:r>
      <w:r w:rsidRPr="004C21EE">
        <w:rPr>
          <w:rFonts w:hint="eastAsia"/>
          <w:sz w:val="20"/>
          <w:szCs w:val="20"/>
        </w:rPr>
        <w:t>200 mm</w:t>
      </w:r>
      <w:r w:rsidRPr="004C21EE">
        <w:rPr>
          <w:sz w:val="20"/>
          <w:szCs w:val="20"/>
        </w:rPr>
        <w:t>]</w:t>
      </w:r>
      <w:r w:rsidRPr="004C21EE">
        <w:rPr>
          <w:rFonts w:hint="eastAsia"/>
          <w:sz w:val="20"/>
          <w:szCs w:val="20"/>
        </w:rPr>
        <w:t xml:space="preserve"> height</w:t>
      </w:r>
      <w:r w:rsidRPr="004C21EE">
        <w:rPr>
          <w:sz w:val="20"/>
          <w:szCs w:val="20"/>
        </w:rPr>
        <w:t xml:space="preserve">) </w:t>
      </w:r>
      <w:r w:rsidRPr="004C21EE">
        <w:rPr>
          <w:rFonts w:hint="eastAsia"/>
          <w:sz w:val="20"/>
          <w:szCs w:val="20"/>
        </w:rPr>
        <w:t xml:space="preserve">of </w:t>
      </w:r>
      <w:r w:rsidRPr="004C21EE">
        <w:rPr>
          <w:sz w:val="20"/>
          <w:szCs w:val="20"/>
        </w:rPr>
        <w:t>19</w:t>
      </w:r>
      <w:r w:rsidRPr="004C21EE">
        <w:rPr>
          <w:rFonts w:hint="eastAsia"/>
          <w:sz w:val="20"/>
          <w:szCs w:val="20"/>
        </w:rPr>
        <w:t xml:space="preserve"> separate cases were investigated. The variables include cement types (ordinary </w:t>
      </w:r>
      <w:proofErr w:type="spellStart"/>
      <w:r w:rsidRPr="004C21EE">
        <w:rPr>
          <w:rFonts w:hint="eastAsia"/>
          <w:sz w:val="20"/>
          <w:szCs w:val="20"/>
        </w:rPr>
        <w:t>portland</w:t>
      </w:r>
      <w:proofErr w:type="spellEnd"/>
      <w:r w:rsidRPr="004C21EE">
        <w:rPr>
          <w:rFonts w:hint="eastAsia"/>
          <w:sz w:val="20"/>
          <w:szCs w:val="20"/>
        </w:rPr>
        <w:t xml:space="preserve"> cement, blended cement replaced by slag powder of 4080 and 7900 cm</w:t>
      </w:r>
      <w:r w:rsidRPr="004C21EE">
        <w:rPr>
          <w:rFonts w:hint="eastAsia"/>
          <w:sz w:val="20"/>
          <w:szCs w:val="20"/>
          <w:vertAlign w:val="superscript"/>
        </w:rPr>
        <w:t>2</w:t>
      </w:r>
      <w:r w:rsidRPr="004C21EE">
        <w:rPr>
          <w:rFonts w:hint="eastAsia"/>
          <w:sz w:val="20"/>
          <w:szCs w:val="20"/>
        </w:rPr>
        <w:t>/g), air</w:t>
      </w:r>
      <w:r w:rsidRPr="004C21EE">
        <w:rPr>
          <w:sz w:val="20"/>
          <w:szCs w:val="20"/>
        </w:rPr>
        <w:t>-</w:t>
      </w:r>
      <w:r w:rsidRPr="004C21EE">
        <w:rPr>
          <w:rFonts w:hint="eastAsia"/>
          <w:sz w:val="20"/>
          <w:szCs w:val="20"/>
        </w:rPr>
        <w:t>entraining (</w:t>
      </w:r>
      <w:proofErr w:type="spellStart"/>
      <w:r w:rsidRPr="004C21EE">
        <w:rPr>
          <w:rFonts w:hint="eastAsia"/>
          <w:sz w:val="20"/>
          <w:szCs w:val="20"/>
        </w:rPr>
        <w:t>vinsol</w:t>
      </w:r>
      <w:proofErr w:type="spellEnd"/>
      <w:r w:rsidRPr="004C21EE">
        <w:rPr>
          <w:rFonts w:hint="eastAsia"/>
          <w:sz w:val="20"/>
          <w:szCs w:val="20"/>
        </w:rPr>
        <w:t>) chemical admixture, water</w:t>
      </w:r>
      <w:r w:rsidRPr="004C21EE">
        <w:rPr>
          <w:sz w:val="20"/>
          <w:szCs w:val="20"/>
        </w:rPr>
        <w:t>-</w:t>
      </w:r>
      <w:r w:rsidRPr="004C21EE">
        <w:rPr>
          <w:rFonts w:hint="eastAsia"/>
          <w:sz w:val="20"/>
          <w:szCs w:val="20"/>
        </w:rPr>
        <w:t xml:space="preserve">reducing (lignosulfonate type) chemical admixture, high-range water-reducing and air-entraining (naphthalene, melamine, </w:t>
      </w:r>
      <w:proofErr w:type="spellStart"/>
      <w:r w:rsidRPr="004C21EE">
        <w:rPr>
          <w:rFonts w:hint="eastAsia"/>
          <w:sz w:val="20"/>
          <w:szCs w:val="20"/>
        </w:rPr>
        <w:t>polycarboxyl</w:t>
      </w:r>
      <w:proofErr w:type="spellEnd"/>
      <w:r w:rsidRPr="004C21EE">
        <w:rPr>
          <w:rFonts w:hint="eastAsia"/>
          <w:sz w:val="20"/>
          <w:szCs w:val="20"/>
        </w:rPr>
        <w:t xml:space="preserve">, and </w:t>
      </w:r>
      <w:proofErr w:type="spellStart"/>
      <w:r w:rsidRPr="004C21EE">
        <w:rPr>
          <w:rFonts w:hint="eastAsia"/>
          <w:sz w:val="20"/>
          <w:szCs w:val="20"/>
        </w:rPr>
        <w:t>amion</w:t>
      </w:r>
      <w:proofErr w:type="spellEnd"/>
      <w:r w:rsidRPr="004C21EE">
        <w:rPr>
          <w:rFonts w:hint="eastAsia"/>
          <w:sz w:val="20"/>
          <w:szCs w:val="20"/>
        </w:rPr>
        <w:t>-sulfonate types) chemical admixture, drying</w:t>
      </w:r>
      <w:r w:rsidRPr="004C21EE">
        <w:rPr>
          <w:sz w:val="20"/>
          <w:szCs w:val="20"/>
        </w:rPr>
        <w:t>-</w:t>
      </w:r>
      <w:r w:rsidRPr="004C21EE">
        <w:rPr>
          <w:rFonts w:hint="eastAsia"/>
          <w:sz w:val="20"/>
          <w:szCs w:val="20"/>
        </w:rPr>
        <w:t>shrinkage</w:t>
      </w:r>
      <w:r w:rsidRPr="004C21EE">
        <w:rPr>
          <w:sz w:val="20"/>
          <w:szCs w:val="20"/>
        </w:rPr>
        <w:t>-</w:t>
      </w:r>
      <w:r w:rsidRPr="004C21EE">
        <w:rPr>
          <w:rFonts w:hint="eastAsia"/>
          <w:sz w:val="20"/>
          <w:szCs w:val="20"/>
        </w:rPr>
        <w:t xml:space="preserve">reducing chemical admixture (glycol ether plus amino alcohol derivatives), slag content, and </w:t>
      </w:r>
      <w:r w:rsidRPr="004C21EE">
        <w:rPr>
          <w:sz w:val="20"/>
          <w:szCs w:val="20"/>
        </w:rPr>
        <w:t>w/c</w:t>
      </w:r>
      <w:r w:rsidRPr="004C21EE">
        <w:rPr>
          <w:rFonts w:hint="eastAsia"/>
          <w:sz w:val="20"/>
          <w:szCs w:val="20"/>
        </w:rPr>
        <w:t xml:space="preserve">. The specimens were exposed to a tidal pool for 10 years </w:t>
      </w:r>
      <w:r w:rsidRPr="004C21EE">
        <w:rPr>
          <w:sz w:val="20"/>
          <w:szCs w:val="20"/>
        </w:rPr>
        <w:t>using</w:t>
      </w:r>
      <w:r w:rsidRPr="004C21EE">
        <w:rPr>
          <w:rFonts w:hint="eastAsia"/>
          <w:sz w:val="20"/>
          <w:szCs w:val="20"/>
        </w:rPr>
        <w:t xml:space="preserve"> seawater. In each case, four specimens without reinforcement and three specimens with reinforcement were </w:t>
      </w:r>
      <w:r w:rsidRPr="004C21EE">
        <w:rPr>
          <w:sz w:val="20"/>
          <w:szCs w:val="20"/>
        </w:rPr>
        <w:t>investigated……………</w:t>
      </w:r>
      <w:r w:rsidRPr="004C21EE">
        <w:rPr>
          <w:rFonts w:hint="eastAsia"/>
          <w:sz w:val="20"/>
          <w:szCs w:val="20"/>
        </w:rPr>
        <w:t xml:space="preserve"> </w:t>
      </w:r>
    </w:p>
    <w:p w14:paraId="4BB97E0D" w14:textId="77777777" w:rsidR="004C21EE" w:rsidRPr="004C21EE" w:rsidRDefault="004C21EE" w:rsidP="004C21EE">
      <w:pPr>
        <w:pStyle w:val="BODYNOINDENT"/>
        <w:spacing w:line="240" w:lineRule="auto"/>
        <w:rPr>
          <w:sz w:val="20"/>
          <w:szCs w:val="20"/>
        </w:rPr>
      </w:pPr>
    </w:p>
    <w:p w14:paraId="262585D3" w14:textId="77777777" w:rsidR="004C21EE" w:rsidRPr="003C4F96" w:rsidRDefault="004C21EE" w:rsidP="004C21EE">
      <w:pPr>
        <w:pStyle w:val="HEADING20"/>
        <w:rPr>
          <w:sz w:val="20"/>
          <w:szCs w:val="20"/>
        </w:rPr>
      </w:pPr>
      <w:r w:rsidRPr="003C4F96">
        <w:rPr>
          <w:rFonts w:hint="eastAsia"/>
          <w:sz w:val="20"/>
          <w:szCs w:val="20"/>
        </w:rPr>
        <w:t>M</w:t>
      </w:r>
      <w:r w:rsidRPr="003C4F96">
        <w:rPr>
          <w:sz w:val="20"/>
          <w:szCs w:val="20"/>
        </w:rPr>
        <w:t xml:space="preserve">aterials </w:t>
      </w:r>
    </w:p>
    <w:p w14:paraId="088BC5F9" w14:textId="77777777" w:rsidR="004C21EE" w:rsidRDefault="004C21EE" w:rsidP="004C21EE">
      <w:pPr>
        <w:pStyle w:val="BODYNOINDENT"/>
        <w:spacing w:line="240" w:lineRule="auto"/>
        <w:rPr>
          <w:sz w:val="20"/>
          <w:szCs w:val="20"/>
        </w:rPr>
      </w:pPr>
      <w:r w:rsidRPr="004C21EE">
        <w:rPr>
          <w:rFonts w:hint="eastAsia"/>
          <w:sz w:val="20"/>
          <w:szCs w:val="20"/>
        </w:rPr>
        <w:t xml:space="preserve">Ordinary </w:t>
      </w:r>
      <w:proofErr w:type="spellStart"/>
      <w:r w:rsidRPr="004C21EE">
        <w:rPr>
          <w:rFonts w:hint="eastAsia"/>
          <w:sz w:val="20"/>
          <w:szCs w:val="20"/>
        </w:rPr>
        <w:t>p</w:t>
      </w:r>
      <w:r w:rsidRPr="004C21EE">
        <w:rPr>
          <w:sz w:val="20"/>
          <w:szCs w:val="20"/>
        </w:rPr>
        <w:t>ortland</w:t>
      </w:r>
      <w:proofErr w:type="spellEnd"/>
      <w:r w:rsidRPr="004C21EE">
        <w:rPr>
          <w:rFonts w:hint="eastAsia"/>
          <w:sz w:val="20"/>
          <w:szCs w:val="20"/>
        </w:rPr>
        <w:t xml:space="preserve"> cement (OPC) and blended cements by replacing a portion of the cement with slag powder were used. Two kinds of slag powders were used with Blaine fineness of about 7900 cm</w:t>
      </w:r>
      <w:r w:rsidRPr="004C21EE">
        <w:rPr>
          <w:rFonts w:hint="eastAsia"/>
          <w:sz w:val="20"/>
          <w:szCs w:val="20"/>
          <w:vertAlign w:val="superscript"/>
        </w:rPr>
        <w:t>2</w:t>
      </w:r>
      <w:r w:rsidRPr="004C21EE">
        <w:rPr>
          <w:rFonts w:hint="eastAsia"/>
          <w:sz w:val="20"/>
          <w:szCs w:val="20"/>
        </w:rPr>
        <w:t>/g (Slag 1) and 4080 cm</w:t>
      </w:r>
      <w:r w:rsidRPr="004C21EE">
        <w:rPr>
          <w:rFonts w:hint="eastAsia"/>
          <w:sz w:val="20"/>
          <w:szCs w:val="20"/>
          <w:vertAlign w:val="superscript"/>
        </w:rPr>
        <w:t>2</w:t>
      </w:r>
      <w:r w:rsidRPr="004C21EE">
        <w:rPr>
          <w:rFonts w:hint="eastAsia"/>
          <w:sz w:val="20"/>
          <w:szCs w:val="20"/>
        </w:rPr>
        <w:t>/g (Slag 2). The physical properties and chemical analysis of the cement and slag powders are listed in Table 1. River sand and crushed granite coarse aggregates were used. The specific gravity, water absorption</w:t>
      </w:r>
      <w:r w:rsidRPr="004C21EE">
        <w:rPr>
          <w:sz w:val="20"/>
          <w:szCs w:val="20"/>
        </w:rPr>
        <w:t>,</w:t>
      </w:r>
      <w:r w:rsidRPr="004C21EE">
        <w:rPr>
          <w:rFonts w:hint="eastAsia"/>
          <w:sz w:val="20"/>
          <w:szCs w:val="20"/>
        </w:rPr>
        <w:t xml:space="preserve"> and fineness modulus of sand (passing through </w:t>
      </w:r>
      <w:r w:rsidRPr="004C21EE">
        <w:rPr>
          <w:sz w:val="20"/>
          <w:szCs w:val="20"/>
        </w:rPr>
        <w:t>0.20 in. [</w:t>
      </w:r>
      <w:r w:rsidRPr="004C21EE">
        <w:rPr>
          <w:rFonts w:hint="eastAsia"/>
          <w:sz w:val="20"/>
          <w:szCs w:val="20"/>
        </w:rPr>
        <w:t>5 mm</w:t>
      </w:r>
      <w:r w:rsidRPr="004C21EE">
        <w:rPr>
          <w:sz w:val="20"/>
          <w:szCs w:val="20"/>
        </w:rPr>
        <w:t>]</w:t>
      </w:r>
      <w:r w:rsidRPr="004C21EE">
        <w:rPr>
          <w:rFonts w:hint="eastAsia"/>
          <w:sz w:val="20"/>
          <w:szCs w:val="20"/>
        </w:rPr>
        <w:t xml:space="preserve"> sieve opening size) are 2.63, 1.63 and 2.73, respectively</w:t>
      </w:r>
      <w:r w:rsidRPr="004C21EE">
        <w:rPr>
          <w:sz w:val="20"/>
          <w:szCs w:val="20"/>
        </w:rPr>
        <w:t>….</w:t>
      </w:r>
      <w:r w:rsidRPr="004C21EE">
        <w:rPr>
          <w:rFonts w:hint="eastAsia"/>
          <w:sz w:val="20"/>
          <w:szCs w:val="20"/>
        </w:rPr>
        <w:t xml:space="preserve"> </w:t>
      </w:r>
    </w:p>
    <w:p w14:paraId="75369E85" w14:textId="77777777" w:rsidR="004C21EE" w:rsidRDefault="004C21EE" w:rsidP="004C21EE">
      <w:pPr>
        <w:pStyle w:val="BODYNOINDENT"/>
        <w:spacing w:line="240" w:lineRule="auto"/>
        <w:rPr>
          <w:sz w:val="20"/>
          <w:szCs w:val="20"/>
        </w:rPr>
      </w:pPr>
    </w:p>
    <w:p w14:paraId="4B6C55F1" w14:textId="77777777" w:rsidR="004C21EE" w:rsidRPr="004C21EE" w:rsidRDefault="004C21EE" w:rsidP="004C21EE">
      <w:pPr>
        <w:pStyle w:val="TABLETITLE"/>
        <w:jc w:val="center"/>
        <w:rPr>
          <w:sz w:val="20"/>
          <w:szCs w:val="20"/>
        </w:rPr>
      </w:pPr>
      <w:r w:rsidRPr="004C21EE">
        <w:rPr>
          <w:sz w:val="20"/>
          <w:szCs w:val="20"/>
        </w:rPr>
        <w:t>Table 1–Physical and chemical compositions of cement and slag</w:t>
      </w:r>
    </w:p>
    <w:tbl>
      <w:tblPr>
        <w:tblW w:w="7363" w:type="dxa"/>
        <w:jc w:val="center"/>
        <w:tblBorders>
          <w:top w:val="double" w:sz="4" w:space="0" w:color="auto"/>
          <w:bottom w:val="double" w:sz="4" w:space="0" w:color="auto"/>
          <w:insideH w:val="single" w:sz="4" w:space="0" w:color="auto"/>
          <w:insideV w:val="single" w:sz="4" w:space="0" w:color="auto"/>
        </w:tblBorders>
        <w:tblLook w:val="0000" w:firstRow="0" w:lastRow="0" w:firstColumn="0" w:lastColumn="0" w:noHBand="0" w:noVBand="0"/>
      </w:tblPr>
      <w:tblGrid>
        <w:gridCol w:w="2642"/>
        <w:gridCol w:w="1661"/>
        <w:gridCol w:w="1419"/>
        <w:gridCol w:w="1641"/>
      </w:tblGrid>
      <w:tr w:rsidR="004C21EE" w:rsidRPr="004C21EE" w14:paraId="55B4D75B" w14:textId="77777777" w:rsidTr="00C47A49">
        <w:trPr>
          <w:jc w:val="center"/>
        </w:trPr>
        <w:tc>
          <w:tcPr>
            <w:tcW w:w="2642" w:type="dxa"/>
            <w:tcBorders>
              <w:top w:val="double" w:sz="4" w:space="0" w:color="auto"/>
              <w:bottom w:val="double" w:sz="4" w:space="0" w:color="auto"/>
              <w:right w:val="nil"/>
            </w:tcBorders>
          </w:tcPr>
          <w:p w14:paraId="1629E189" w14:textId="77777777" w:rsidR="004C21EE" w:rsidRPr="004C21EE" w:rsidRDefault="004C21EE" w:rsidP="004C21EE">
            <w:pPr>
              <w:pStyle w:val="TABLEBODY"/>
              <w:rPr>
                <w:sz w:val="20"/>
                <w:szCs w:val="20"/>
              </w:rPr>
            </w:pPr>
          </w:p>
        </w:tc>
        <w:tc>
          <w:tcPr>
            <w:tcW w:w="1661" w:type="dxa"/>
            <w:tcBorders>
              <w:top w:val="double" w:sz="4" w:space="0" w:color="auto"/>
              <w:left w:val="nil"/>
              <w:bottom w:val="double" w:sz="4" w:space="0" w:color="auto"/>
              <w:right w:val="nil"/>
            </w:tcBorders>
          </w:tcPr>
          <w:p w14:paraId="5FBDF638" w14:textId="77777777" w:rsidR="004C21EE" w:rsidRPr="004C21EE" w:rsidRDefault="004C21EE" w:rsidP="004C21EE">
            <w:pPr>
              <w:pStyle w:val="TABLEBODY"/>
              <w:rPr>
                <w:sz w:val="20"/>
                <w:szCs w:val="20"/>
              </w:rPr>
            </w:pPr>
            <w:r w:rsidRPr="004C21EE">
              <w:rPr>
                <w:sz w:val="20"/>
                <w:szCs w:val="20"/>
              </w:rPr>
              <w:t>OPC</w:t>
            </w:r>
          </w:p>
        </w:tc>
        <w:tc>
          <w:tcPr>
            <w:tcW w:w="1419" w:type="dxa"/>
            <w:tcBorders>
              <w:top w:val="double" w:sz="4" w:space="0" w:color="auto"/>
              <w:left w:val="nil"/>
              <w:bottom w:val="double" w:sz="4" w:space="0" w:color="auto"/>
              <w:right w:val="nil"/>
            </w:tcBorders>
          </w:tcPr>
          <w:p w14:paraId="159BBE0E" w14:textId="77777777" w:rsidR="004C21EE" w:rsidRPr="004C21EE" w:rsidRDefault="004C21EE" w:rsidP="004C21EE">
            <w:pPr>
              <w:pStyle w:val="TABLEBODY"/>
              <w:rPr>
                <w:sz w:val="20"/>
                <w:szCs w:val="20"/>
              </w:rPr>
            </w:pPr>
            <w:r w:rsidRPr="004C21EE">
              <w:rPr>
                <w:sz w:val="20"/>
                <w:szCs w:val="20"/>
              </w:rPr>
              <w:t>Slag 1</w:t>
            </w:r>
          </w:p>
        </w:tc>
        <w:tc>
          <w:tcPr>
            <w:tcW w:w="1641" w:type="dxa"/>
            <w:tcBorders>
              <w:top w:val="double" w:sz="4" w:space="0" w:color="auto"/>
              <w:left w:val="nil"/>
              <w:bottom w:val="double" w:sz="4" w:space="0" w:color="auto"/>
            </w:tcBorders>
          </w:tcPr>
          <w:p w14:paraId="12D6CE4B" w14:textId="77777777" w:rsidR="004C21EE" w:rsidRPr="004C21EE" w:rsidRDefault="004C21EE" w:rsidP="004C21EE">
            <w:pPr>
              <w:pStyle w:val="TABLEBODY"/>
              <w:rPr>
                <w:sz w:val="20"/>
                <w:szCs w:val="20"/>
              </w:rPr>
            </w:pPr>
            <w:r w:rsidRPr="004C21EE">
              <w:rPr>
                <w:sz w:val="20"/>
                <w:szCs w:val="20"/>
              </w:rPr>
              <w:t>Slag 2</w:t>
            </w:r>
          </w:p>
        </w:tc>
      </w:tr>
      <w:tr w:rsidR="004C21EE" w:rsidRPr="004C21EE" w14:paraId="4B13CF81" w14:textId="77777777" w:rsidTr="00C47A49">
        <w:trPr>
          <w:jc w:val="center"/>
        </w:trPr>
        <w:tc>
          <w:tcPr>
            <w:tcW w:w="2642" w:type="dxa"/>
            <w:tcBorders>
              <w:top w:val="double" w:sz="4" w:space="0" w:color="auto"/>
              <w:right w:val="nil"/>
            </w:tcBorders>
          </w:tcPr>
          <w:p w14:paraId="15B69C2C" w14:textId="77777777" w:rsidR="004C21EE" w:rsidRPr="004C21EE" w:rsidRDefault="004C21EE" w:rsidP="004C21EE">
            <w:pPr>
              <w:pStyle w:val="TABLEBODY"/>
              <w:rPr>
                <w:b/>
                <w:sz w:val="20"/>
                <w:szCs w:val="20"/>
                <w:lang w:eastAsia="ja-JP"/>
              </w:rPr>
            </w:pPr>
            <w:r w:rsidRPr="004C21EE">
              <w:rPr>
                <w:b/>
                <w:sz w:val="20"/>
                <w:szCs w:val="20"/>
                <w:lang w:eastAsia="ja-JP"/>
              </w:rPr>
              <w:t>Specific gravity</w:t>
            </w:r>
          </w:p>
        </w:tc>
        <w:tc>
          <w:tcPr>
            <w:tcW w:w="1661" w:type="dxa"/>
            <w:tcBorders>
              <w:top w:val="double" w:sz="4" w:space="0" w:color="auto"/>
              <w:left w:val="nil"/>
              <w:right w:val="nil"/>
            </w:tcBorders>
          </w:tcPr>
          <w:p w14:paraId="1991FCDC" w14:textId="77777777" w:rsidR="004C21EE" w:rsidRPr="004C21EE" w:rsidRDefault="004C21EE" w:rsidP="004C21EE">
            <w:pPr>
              <w:pStyle w:val="TABLEBODY"/>
              <w:rPr>
                <w:sz w:val="20"/>
                <w:szCs w:val="20"/>
              </w:rPr>
            </w:pPr>
            <w:r w:rsidRPr="004C21EE">
              <w:rPr>
                <w:sz w:val="20"/>
                <w:szCs w:val="20"/>
              </w:rPr>
              <w:t>3.16</w:t>
            </w:r>
          </w:p>
        </w:tc>
        <w:tc>
          <w:tcPr>
            <w:tcW w:w="1419" w:type="dxa"/>
            <w:tcBorders>
              <w:top w:val="double" w:sz="4" w:space="0" w:color="auto"/>
              <w:left w:val="nil"/>
              <w:right w:val="nil"/>
            </w:tcBorders>
          </w:tcPr>
          <w:p w14:paraId="109E323B" w14:textId="77777777" w:rsidR="004C21EE" w:rsidRPr="004C21EE" w:rsidRDefault="004C21EE" w:rsidP="004C21EE">
            <w:pPr>
              <w:pStyle w:val="TABLEBODY"/>
              <w:rPr>
                <w:sz w:val="20"/>
                <w:szCs w:val="20"/>
              </w:rPr>
            </w:pPr>
            <w:r w:rsidRPr="004C21EE">
              <w:rPr>
                <w:sz w:val="20"/>
                <w:szCs w:val="20"/>
              </w:rPr>
              <w:t>2.90</w:t>
            </w:r>
          </w:p>
        </w:tc>
        <w:tc>
          <w:tcPr>
            <w:tcW w:w="1641" w:type="dxa"/>
            <w:tcBorders>
              <w:top w:val="double" w:sz="4" w:space="0" w:color="auto"/>
              <w:left w:val="nil"/>
            </w:tcBorders>
          </w:tcPr>
          <w:p w14:paraId="1FF9BEA7" w14:textId="77777777" w:rsidR="004C21EE" w:rsidRPr="004C21EE" w:rsidRDefault="004C21EE" w:rsidP="004C21EE">
            <w:pPr>
              <w:pStyle w:val="TABLEBODY"/>
              <w:rPr>
                <w:sz w:val="20"/>
                <w:szCs w:val="20"/>
              </w:rPr>
            </w:pPr>
            <w:r w:rsidRPr="004C21EE">
              <w:rPr>
                <w:sz w:val="20"/>
                <w:szCs w:val="20"/>
              </w:rPr>
              <w:t>2.90</w:t>
            </w:r>
          </w:p>
        </w:tc>
      </w:tr>
      <w:tr w:rsidR="004C21EE" w:rsidRPr="004C21EE" w14:paraId="57C99714" w14:textId="77777777" w:rsidTr="00C47A49">
        <w:trPr>
          <w:jc w:val="center"/>
        </w:trPr>
        <w:tc>
          <w:tcPr>
            <w:tcW w:w="2642" w:type="dxa"/>
            <w:tcBorders>
              <w:right w:val="nil"/>
            </w:tcBorders>
          </w:tcPr>
          <w:p w14:paraId="520C629A" w14:textId="77777777" w:rsidR="004C21EE" w:rsidRPr="004C21EE" w:rsidRDefault="004C21EE" w:rsidP="004C21EE">
            <w:pPr>
              <w:pStyle w:val="TABLEBODY"/>
              <w:rPr>
                <w:sz w:val="20"/>
                <w:szCs w:val="20"/>
              </w:rPr>
            </w:pPr>
            <w:r w:rsidRPr="004C21EE">
              <w:rPr>
                <w:sz w:val="20"/>
                <w:szCs w:val="20"/>
              </w:rPr>
              <w:t>Blaine fineness, cm</w:t>
            </w:r>
            <w:r w:rsidRPr="004C21EE">
              <w:rPr>
                <w:sz w:val="20"/>
                <w:szCs w:val="20"/>
                <w:vertAlign w:val="superscript"/>
              </w:rPr>
              <w:t>2</w:t>
            </w:r>
            <w:r w:rsidRPr="004C21EE">
              <w:rPr>
                <w:sz w:val="20"/>
                <w:szCs w:val="20"/>
              </w:rPr>
              <w:t>/g</w:t>
            </w:r>
          </w:p>
        </w:tc>
        <w:tc>
          <w:tcPr>
            <w:tcW w:w="1661" w:type="dxa"/>
            <w:tcBorders>
              <w:left w:val="nil"/>
              <w:right w:val="nil"/>
            </w:tcBorders>
          </w:tcPr>
          <w:p w14:paraId="402F8683" w14:textId="77777777" w:rsidR="004C21EE" w:rsidRPr="004C21EE" w:rsidRDefault="004C21EE" w:rsidP="004C21EE">
            <w:pPr>
              <w:pStyle w:val="TABLEBODY"/>
              <w:rPr>
                <w:sz w:val="20"/>
                <w:szCs w:val="20"/>
              </w:rPr>
            </w:pPr>
            <w:r w:rsidRPr="004C21EE">
              <w:rPr>
                <w:sz w:val="20"/>
                <w:szCs w:val="20"/>
              </w:rPr>
              <w:t>3190</w:t>
            </w:r>
          </w:p>
        </w:tc>
        <w:tc>
          <w:tcPr>
            <w:tcW w:w="1419" w:type="dxa"/>
            <w:tcBorders>
              <w:left w:val="nil"/>
              <w:right w:val="nil"/>
            </w:tcBorders>
          </w:tcPr>
          <w:p w14:paraId="7A481DE3" w14:textId="77777777" w:rsidR="004C21EE" w:rsidRPr="004C21EE" w:rsidRDefault="004C21EE" w:rsidP="004C21EE">
            <w:pPr>
              <w:pStyle w:val="TABLEBODY"/>
              <w:rPr>
                <w:sz w:val="20"/>
                <w:szCs w:val="20"/>
              </w:rPr>
            </w:pPr>
            <w:r w:rsidRPr="004C21EE">
              <w:rPr>
                <w:sz w:val="20"/>
                <w:szCs w:val="20"/>
              </w:rPr>
              <w:t>7900</w:t>
            </w:r>
          </w:p>
        </w:tc>
        <w:tc>
          <w:tcPr>
            <w:tcW w:w="1641" w:type="dxa"/>
            <w:tcBorders>
              <w:left w:val="nil"/>
            </w:tcBorders>
          </w:tcPr>
          <w:p w14:paraId="3BAF868D" w14:textId="77777777" w:rsidR="004C21EE" w:rsidRPr="004C21EE" w:rsidRDefault="004C21EE" w:rsidP="004C21EE">
            <w:pPr>
              <w:pStyle w:val="TABLEBODY"/>
              <w:rPr>
                <w:sz w:val="20"/>
                <w:szCs w:val="20"/>
              </w:rPr>
            </w:pPr>
            <w:r w:rsidRPr="004C21EE">
              <w:rPr>
                <w:sz w:val="20"/>
                <w:szCs w:val="20"/>
              </w:rPr>
              <w:t>4080</w:t>
            </w:r>
          </w:p>
        </w:tc>
      </w:tr>
      <w:tr w:rsidR="004C21EE" w:rsidRPr="004C21EE" w14:paraId="427CE92A" w14:textId="77777777" w:rsidTr="00C47A49">
        <w:trPr>
          <w:jc w:val="center"/>
        </w:trPr>
        <w:tc>
          <w:tcPr>
            <w:tcW w:w="2642" w:type="dxa"/>
            <w:tcBorders>
              <w:right w:val="nil"/>
            </w:tcBorders>
          </w:tcPr>
          <w:p w14:paraId="6BB5BB85" w14:textId="77777777" w:rsidR="004C21EE" w:rsidRPr="004C21EE" w:rsidRDefault="004C21EE" w:rsidP="004C21EE">
            <w:pPr>
              <w:pStyle w:val="TABLEBODY"/>
              <w:rPr>
                <w:sz w:val="20"/>
                <w:szCs w:val="20"/>
              </w:rPr>
            </w:pPr>
            <w:r w:rsidRPr="004C21EE">
              <w:rPr>
                <w:sz w:val="20"/>
                <w:szCs w:val="20"/>
              </w:rPr>
              <w:t>Loss of ignition, %</w:t>
            </w:r>
          </w:p>
        </w:tc>
        <w:tc>
          <w:tcPr>
            <w:tcW w:w="1661" w:type="dxa"/>
            <w:tcBorders>
              <w:left w:val="nil"/>
              <w:right w:val="nil"/>
            </w:tcBorders>
          </w:tcPr>
          <w:p w14:paraId="35E7D4AE" w14:textId="77777777" w:rsidR="004C21EE" w:rsidRPr="004C21EE" w:rsidRDefault="004C21EE" w:rsidP="004C21EE">
            <w:pPr>
              <w:pStyle w:val="TABLEBODY"/>
              <w:rPr>
                <w:sz w:val="20"/>
                <w:szCs w:val="20"/>
              </w:rPr>
            </w:pPr>
            <w:r w:rsidRPr="004C21EE">
              <w:rPr>
                <w:sz w:val="20"/>
                <w:szCs w:val="20"/>
              </w:rPr>
              <w:t>0.7</w:t>
            </w:r>
          </w:p>
        </w:tc>
        <w:tc>
          <w:tcPr>
            <w:tcW w:w="1419" w:type="dxa"/>
            <w:tcBorders>
              <w:left w:val="nil"/>
              <w:right w:val="nil"/>
            </w:tcBorders>
          </w:tcPr>
          <w:p w14:paraId="19D6D854" w14:textId="77777777" w:rsidR="004C21EE" w:rsidRPr="004C21EE" w:rsidRDefault="004C21EE" w:rsidP="004C21EE">
            <w:pPr>
              <w:pStyle w:val="TABLEBODY"/>
              <w:rPr>
                <w:sz w:val="20"/>
                <w:szCs w:val="20"/>
              </w:rPr>
            </w:pPr>
            <w:r w:rsidRPr="004C21EE">
              <w:rPr>
                <w:b/>
                <w:sz w:val="20"/>
                <w:szCs w:val="20"/>
              </w:rPr>
              <w:t>–</w:t>
            </w:r>
          </w:p>
        </w:tc>
        <w:tc>
          <w:tcPr>
            <w:tcW w:w="1641" w:type="dxa"/>
            <w:tcBorders>
              <w:left w:val="nil"/>
            </w:tcBorders>
          </w:tcPr>
          <w:p w14:paraId="6235BC12" w14:textId="77777777" w:rsidR="004C21EE" w:rsidRPr="004C21EE" w:rsidRDefault="004C21EE" w:rsidP="004C21EE">
            <w:pPr>
              <w:pStyle w:val="TABLEBODY"/>
              <w:rPr>
                <w:sz w:val="20"/>
                <w:szCs w:val="20"/>
              </w:rPr>
            </w:pPr>
            <w:r w:rsidRPr="004C21EE">
              <w:rPr>
                <w:b/>
                <w:sz w:val="20"/>
                <w:szCs w:val="20"/>
              </w:rPr>
              <w:t>–</w:t>
            </w:r>
          </w:p>
        </w:tc>
      </w:tr>
      <w:tr w:rsidR="004C21EE" w:rsidRPr="004C21EE" w14:paraId="26400DED" w14:textId="77777777" w:rsidTr="00C47A49">
        <w:trPr>
          <w:jc w:val="center"/>
        </w:trPr>
        <w:tc>
          <w:tcPr>
            <w:tcW w:w="2642" w:type="dxa"/>
            <w:tcBorders>
              <w:right w:val="nil"/>
            </w:tcBorders>
          </w:tcPr>
          <w:p w14:paraId="4D09B5F1" w14:textId="77777777" w:rsidR="004C21EE" w:rsidRPr="004C21EE" w:rsidRDefault="004C21EE" w:rsidP="004C21EE">
            <w:pPr>
              <w:pStyle w:val="TABLEBODY"/>
              <w:rPr>
                <w:sz w:val="20"/>
                <w:szCs w:val="20"/>
              </w:rPr>
            </w:pPr>
            <w:r w:rsidRPr="004C21EE">
              <w:rPr>
                <w:sz w:val="20"/>
                <w:szCs w:val="20"/>
              </w:rPr>
              <w:t>SiO</w:t>
            </w:r>
            <w:r w:rsidRPr="004C21EE">
              <w:rPr>
                <w:sz w:val="20"/>
                <w:szCs w:val="20"/>
                <w:vertAlign w:val="subscript"/>
              </w:rPr>
              <w:t>2</w:t>
            </w:r>
            <w:r w:rsidRPr="004C21EE">
              <w:rPr>
                <w:sz w:val="20"/>
                <w:szCs w:val="20"/>
              </w:rPr>
              <w:t>, %</w:t>
            </w:r>
          </w:p>
        </w:tc>
        <w:tc>
          <w:tcPr>
            <w:tcW w:w="1661" w:type="dxa"/>
            <w:tcBorders>
              <w:left w:val="nil"/>
              <w:right w:val="nil"/>
            </w:tcBorders>
          </w:tcPr>
          <w:p w14:paraId="0895B58C" w14:textId="77777777" w:rsidR="004C21EE" w:rsidRPr="004C21EE" w:rsidRDefault="004C21EE" w:rsidP="004C21EE">
            <w:pPr>
              <w:pStyle w:val="TABLEBODY"/>
              <w:rPr>
                <w:sz w:val="20"/>
                <w:szCs w:val="20"/>
              </w:rPr>
            </w:pPr>
            <w:r w:rsidRPr="004C21EE">
              <w:rPr>
                <w:sz w:val="20"/>
                <w:szCs w:val="20"/>
              </w:rPr>
              <w:t>21.3</w:t>
            </w:r>
          </w:p>
        </w:tc>
        <w:tc>
          <w:tcPr>
            <w:tcW w:w="1419" w:type="dxa"/>
            <w:tcBorders>
              <w:left w:val="nil"/>
              <w:right w:val="nil"/>
            </w:tcBorders>
          </w:tcPr>
          <w:p w14:paraId="72626AE9" w14:textId="77777777" w:rsidR="004C21EE" w:rsidRPr="004C21EE" w:rsidRDefault="004C21EE" w:rsidP="004C21EE">
            <w:pPr>
              <w:pStyle w:val="TABLEBODY"/>
              <w:rPr>
                <w:sz w:val="20"/>
                <w:szCs w:val="20"/>
              </w:rPr>
            </w:pPr>
            <w:r w:rsidRPr="004C21EE">
              <w:rPr>
                <w:sz w:val="20"/>
                <w:szCs w:val="20"/>
              </w:rPr>
              <w:t>32.7</w:t>
            </w:r>
          </w:p>
        </w:tc>
        <w:tc>
          <w:tcPr>
            <w:tcW w:w="1641" w:type="dxa"/>
            <w:tcBorders>
              <w:left w:val="nil"/>
            </w:tcBorders>
          </w:tcPr>
          <w:p w14:paraId="44AC6F8B" w14:textId="77777777" w:rsidR="004C21EE" w:rsidRPr="004C21EE" w:rsidRDefault="004C21EE" w:rsidP="004C21EE">
            <w:pPr>
              <w:pStyle w:val="TABLEBODY"/>
              <w:rPr>
                <w:sz w:val="20"/>
                <w:szCs w:val="20"/>
              </w:rPr>
            </w:pPr>
            <w:r w:rsidRPr="004C21EE">
              <w:rPr>
                <w:sz w:val="20"/>
                <w:szCs w:val="20"/>
              </w:rPr>
              <w:t>33.2</w:t>
            </w:r>
          </w:p>
        </w:tc>
      </w:tr>
      <w:tr w:rsidR="004C21EE" w:rsidRPr="004C21EE" w14:paraId="0C9ABA34" w14:textId="77777777" w:rsidTr="00C47A49">
        <w:trPr>
          <w:jc w:val="center"/>
        </w:trPr>
        <w:tc>
          <w:tcPr>
            <w:tcW w:w="2642" w:type="dxa"/>
            <w:tcBorders>
              <w:right w:val="nil"/>
            </w:tcBorders>
          </w:tcPr>
          <w:p w14:paraId="0262FC31" w14:textId="77777777" w:rsidR="004C21EE" w:rsidRPr="004C21EE" w:rsidRDefault="004C21EE" w:rsidP="004C21EE">
            <w:pPr>
              <w:pStyle w:val="TABLEBODY"/>
              <w:rPr>
                <w:sz w:val="20"/>
                <w:szCs w:val="20"/>
              </w:rPr>
            </w:pPr>
            <w:r w:rsidRPr="004C21EE">
              <w:rPr>
                <w:sz w:val="20"/>
                <w:szCs w:val="20"/>
              </w:rPr>
              <w:t>Al</w:t>
            </w:r>
            <w:r w:rsidRPr="004C21EE">
              <w:rPr>
                <w:sz w:val="20"/>
                <w:szCs w:val="20"/>
                <w:vertAlign w:val="subscript"/>
              </w:rPr>
              <w:t>2</w:t>
            </w:r>
            <w:r w:rsidRPr="004C21EE">
              <w:rPr>
                <w:sz w:val="20"/>
                <w:szCs w:val="20"/>
              </w:rPr>
              <w:t>O</w:t>
            </w:r>
            <w:r w:rsidRPr="004C21EE">
              <w:rPr>
                <w:sz w:val="20"/>
                <w:szCs w:val="20"/>
                <w:vertAlign w:val="subscript"/>
              </w:rPr>
              <w:t>3</w:t>
            </w:r>
            <w:r w:rsidRPr="004C21EE">
              <w:rPr>
                <w:sz w:val="20"/>
                <w:szCs w:val="20"/>
              </w:rPr>
              <w:t>, %</w:t>
            </w:r>
          </w:p>
        </w:tc>
        <w:tc>
          <w:tcPr>
            <w:tcW w:w="1661" w:type="dxa"/>
            <w:tcBorders>
              <w:left w:val="nil"/>
              <w:right w:val="nil"/>
            </w:tcBorders>
          </w:tcPr>
          <w:p w14:paraId="2A719508" w14:textId="77777777" w:rsidR="004C21EE" w:rsidRPr="004C21EE" w:rsidRDefault="004C21EE" w:rsidP="004C21EE">
            <w:pPr>
              <w:pStyle w:val="TABLEBODY"/>
              <w:rPr>
                <w:sz w:val="20"/>
                <w:szCs w:val="20"/>
              </w:rPr>
            </w:pPr>
            <w:r w:rsidRPr="004C21EE">
              <w:rPr>
                <w:sz w:val="20"/>
                <w:szCs w:val="20"/>
              </w:rPr>
              <w:t>5.3</w:t>
            </w:r>
          </w:p>
        </w:tc>
        <w:tc>
          <w:tcPr>
            <w:tcW w:w="1419" w:type="dxa"/>
            <w:tcBorders>
              <w:left w:val="nil"/>
              <w:right w:val="nil"/>
            </w:tcBorders>
          </w:tcPr>
          <w:p w14:paraId="626F1458" w14:textId="77777777" w:rsidR="004C21EE" w:rsidRPr="004C21EE" w:rsidRDefault="004C21EE" w:rsidP="004C21EE">
            <w:pPr>
              <w:pStyle w:val="TABLEBODY"/>
              <w:rPr>
                <w:sz w:val="20"/>
                <w:szCs w:val="20"/>
              </w:rPr>
            </w:pPr>
            <w:r w:rsidRPr="004C21EE">
              <w:rPr>
                <w:sz w:val="20"/>
                <w:szCs w:val="20"/>
              </w:rPr>
              <w:t>13.8</w:t>
            </w:r>
          </w:p>
        </w:tc>
        <w:tc>
          <w:tcPr>
            <w:tcW w:w="1641" w:type="dxa"/>
            <w:tcBorders>
              <w:left w:val="nil"/>
            </w:tcBorders>
          </w:tcPr>
          <w:p w14:paraId="5A6C6CE7" w14:textId="77777777" w:rsidR="004C21EE" w:rsidRPr="004C21EE" w:rsidRDefault="004C21EE" w:rsidP="004C21EE">
            <w:pPr>
              <w:pStyle w:val="TABLEBODY"/>
              <w:rPr>
                <w:sz w:val="20"/>
                <w:szCs w:val="20"/>
              </w:rPr>
            </w:pPr>
            <w:r w:rsidRPr="004C21EE">
              <w:rPr>
                <w:sz w:val="20"/>
                <w:szCs w:val="20"/>
              </w:rPr>
              <w:t>14.1</w:t>
            </w:r>
          </w:p>
        </w:tc>
      </w:tr>
      <w:tr w:rsidR="004C21EE" w:rsidRPr="004C21EE" w14:paraId="66CD518F" w14:textId="77777777" w:rsidTr="00C47A49">
        <w:trPr>
          <w:jc w:val="center"/>
        </w:trPr>
        <w:tc>
          <w:tcPr>
            <w:tcW w:w="2642" w:type="dxa"/>
            <w:tcBorders>
              <w:right w:val="nil"/>
            </w:tcBorders>
          </w:tcPr>
          <w:p w14:paraId="26E62007" w14:textId="77777777" w:rsidR="004C21EE" w:rsidRPr="004C21EE" w:rsidRDefault="004C21EE" w:rsidP="004C21EE">
            <w:pPr>
              <w:pStyle w:val="TABLEBODY"/>
              <w:rPr>
                <w:sz w:val="20"/>
                <w:szCs w:val="20"/>
              </w:rPr>
            </w:pPr>
            <w:r w:rsidRPr="004C21EE">
              <w:rPr>
                <w:sz w:val="20"/>
                <w:szCs w:val="20"/>
              </w:rPr>
              <w:t>CaO, %</w:t>
            </w:r>
          </w:p>
        </w:tc>
        <w:tc>
          <w:tcPr>
            <w:tcW w:w="1661" w:type="dxa"/>
            <w:tcBorders>
              <w:left w:val="nil"/>
              <w:right w:val="nil"/>
            </w:tcBorders>
          </w:tcPr>
          <w:p w14:paraId="65677CCA" w14:textId="77777777" w:rsidR="004C21EE" w:rsidRPr="004C21EE" w:rsidRDefault="004C21EE" w:rsidP="004C21EE">
            <w:pPr>
              <w:pStyle w:val="TABLEBODY"/>
              <w:rPr>
                <w:sz w:val="20"/>
                <w:szCs w:val="20"/>
              </w:rPr>
            </w:pPr>
            <w:r w:rsidRPr="004C21EE">
              <w:rPr>
                <w:sz w:val="20"/>
                <w:szCs w:val="20"/>
              </w:rPr>
              <w:t>64.4</w:t>
            </w:r>
          </w:p>
        </w:tc>
        <w:tc>
          <w:tcPr>
            <w:tcW w:w="1419" w:type="dxa"/>
            <w:tcBorders>
              <w:left w:val="nil"/>
              <w:right w:val="nil"/>
            </w:tcBorders>
          </w:tcPr>
          <w:p w14:paraId="4E2B3FD4" w14:textId="77777777" w:rsidR="004C21EE" w:rsidRPr="004C21EE" w:rsidRDefault="004C21EE" w:rsidP="004C21EE">
            <w:pPr>
              <w:pStyle w:val="TABLEBODY"/>
              <w:rPr>
                <w:sz w:val="20"/>
                <w:szCs w:val="20"/>
              </w:rPr>
            </w:pPr>
            <w:r w:rsidRPr="004C21EE">
              <w:rPr>
                <w:sz w:val="20"/>
                <w:szCs w:val="20"/>
              </w:rPr>
              <w:t>42.4</w:t>
            </w:r>
          </w:p>
        </w:tc>
        <w:tc>
          <w:tcPr>
            <w:tcW w:w="1641" w:type="dxa"/>
            <w:tcBorders>
              <w:left w:val="nil"/>
            </w:tcBorders>
          </w:tcPr>
          <w:p w14:paraId="6C3C77D0" w14:textId="77777777" w:rsidR="004C21EE" w:rsidRPr="004C21EE" w:rsidRDefault="004C21EE" w:rsidP="004C21EE">
            <w:pPr>
              <w:pStyle w:val="TABLEBODY"/>
              <w:rPr>
                <w:sz w:val="20"/>
                <w:szCs w:val="20"/>
              </w:rPr>
            </w:pPr>
            <w:r w:rsidRPr="004C21EE">
              <w:rPr>
                <w:sz w:val="20"/>
                <w:szCs w:val="20"/>
              </w:rPr>
              <w:t>42.3</w:t>
            </w:r>
          </w:p>
        </w:tc>
      </w:tr>
      <w:tr w:rsidR="004C21EE" w:rsidRPr="004C21EE" w14:paraId="752811EF" w14:textId="77777777" w:rsidTr="00C47A49">
        <w:trPr>
          <w:jc w:val="center"/>
        </w:trPr>
        <w:tc>
          <w:tcPr>
            <w:tcW w:w="2642" w:type="dxa"/>
            <w:tcBorders>
              <w:right w:val="nil"/>
            </w:tcBorders>
          </w:tcPr>
          <w:p w14:paraId="6DBEC379" w14:textId="77777777" w:rsidR="004C21EE" w:rsidRPr="004C21EE" w:rsidRDefault="004C21EE" w:rsidP="004C21EE">
            <w:pPr>
              <w:pStyle w:val="TABLEBODY"/>
              <w:rPr>
                <w:sz w:val="20"/>
                <w:szCs w:val="20"/>
              </w:rPr>
            </w:pPr>
            <w:r w:rsidRPr="004C21EE">
              <w:rPr>
                <w:sz w:val="20"/>
                <w:szCs w:val="20"/>
              </w:rPr>
              <w:t>MgO, %</w:t>
            </w:r>
          </w:p>
        </w:tc>
        <w:tc>
          <w:tcPr>
            <w:tcW w:w="1661" w:type="dxa"/>
            <w:tcBorders>
              <w:left w:val="nil"/>
              <w:right w:val="nil"/>
            </w:tcBorders>
          </w:tcPr>
          <w:p w14:paraId="4A5DE1B5" w14:textId="77777777" w:rsidR="004C21EE" w:rsidRPr="004C21EE" w:rsidRDefault="004C21EE" w:rsidP="004C21EE">
            <w:pPr>
              <w:pStyle w:val="TABLEBODY"/>
              <w:rPr>
                <w:sz w:val="20"/>
                <w:szCs w:val="20"/>
              </w:rPr>
            </w:pPr>
            <w:r w:rsidRPr="004C21EE">
              <w:rPr>
                <w:sz w:val="20"/>
                <w:szCs w:val="20"/>
              </w:rPr>
              <w:t>2.2</w:t>
            </w:r>
          </w:p>
        </w:tc>
        <w:tc>
          <w:tcPr>
            <w:tcW w:w="1419" w:type="dxa"/>
            <w:tcBorders>
              <w:left w:val="nil"/>
              <w:right w:val="nil"/>
            </w:tcBorders>
          </w:tcPr>
          <w:p w14:paraId="0EA8B40C" w14:textId="77777777" w:rsidR="004C21EE" w:rsidRPr="004C21EE" w:rsidRDefault="004C21EE" w:rsidP="004C21EE">
            <w:pPr>
              <w:pStyle w:val="TABLEBODY"/>
              <w:rPr>
                <w:sz w:val="20"/>
                <w:szCs w:val="20"/>
              </w:rPr>
            </w:pPr>
            <w:r w:rsidRPr="004C21EE">
              <w:rPr>
                <w:sz w:val="20"/>
                <w:szCs w:val="20"/>
              </w:rPr>
              <w:t>5.9</w:t>
            </w:r>
          </w:p>
        </w:tc>
        <w:tc>
          <w:tcPr>
            <w:tcW w:w="1641" w:type="dxa"/>
            <w:tcBorders>
              <w:left w:val="nil"/>
            </w:tcBorders>
          </w:tcPr>
          <w:p w14:paraId="790FFB49" w14:textId="77777777" w:rsidR="004C21EE" w:rsidRPr="004C21EE" w:rsidRDefault="004C21EE" w:rsidP="004C21EE">
            <w:pPr>
              <w:pStyle w:val="TABLEBODY"/>
              <w:rPr>
                <w:sz w:val="20"/>
                <w:szCs w:val="20"/>
              </w:rPr>
            </w:pPr>
            <w:r w:rsidRPr="004C21EE">
              <w:rPr>
                <w:sz w:val="20"/>
                <w:szCs w:val="20"/>
              </w:rPr>
              <w:t>5.9</w:t>
            </w:r>
          </w:p>
        </w:tc>
      </w:tr>
      <w:tr w:rsidR="004C21EE" w:rsidRPr="004C21EE" w14:paraId="53F8400F" w14:textId="77777777" w:rsidTr="00C47A49">
        <w:trPr>
          <w:jc w:val="center"/>
        </w:trPr>
        <w:tc>
          <w:tcPr>
            <w:tcW w:w="2642" w:type="dxa"/>
            <w:tcBorders>
              <w:right w:val="nil"/>
            </w:tcBorders>
          </w:tcPr>
          <w:p w14:paraId="1D44E5C1" w14:textId="77777777" w:rsidR="004C21EE" w:rsidRPr="004C21EE" w:rsidRDefault="004C21EE" w:rsidP="004C21EE">
            <w:pPr>
              <w:pStyle w:val="TABLEBODY"/>
              <w:rPr>
                <w:sz w:val="20"/>
                <w:szCs w:val="20"/>
              </w:rPr>
            </w:pPr>
            <w:r w:rsidRPr="004C21EE">
              <w:rPr>
                <w:sz w:val="20"/>
                <w:szCs w:val="20"/>
              </w:rPr>
              <w:t>SO</w:t>
            </w:r>
            <w:r w:rsidRPr="004C21EE">
              <w:rPr>
                <w:sz w:val="20"/>
                <w:szCs w:val="20"/>
                <w:vertAlign w:val="subscript"/>
              </w:rPr>
              <w:t>3</w:t>
            </w:r>
            <w:r w:rsidRPr="004C21EE">
              <w:rPr>
                <w:sz w:val="20"/>
                <w:szCs w:val="20"/>
              </w:rPr>
              <w:t>, %</w:t>
            </w:r>
          </w:p>
        </w:tc>
        <w:tc>
          <w:tcPr>
            <w:tcW w:w="1661" w:type="dxa"/>
            <w:tcBorders>
              <w:left w:val="nil"/>
              <w:right w:val="nil"/>
            </w:tcBorders>
          </w:tcPr>
          <w:p w14:paraId="772ECE30" w14:textId="77777777" w:rsidR="004C21EE" w:rsidRPr="004C21EE" w:rsidRDefault="004C21EE" w:rsidP="004C21EE">
            <w:pPr>
              <w:pStyle w:val="TABLEBODY"/>
              <w:rPr>
                <w:sz w:val="20"/>
                <w:szCs w:val="20"/>
              </w:rPr>
            </w:pPr>
            <w:r w:rsidRPr="004C21EE">
              <w:rPr>
                <w:sz w:val="20"/>
                <w:szCs w:val="20"/>
              </w:rPr>
              <w:t>1.9</w:t>
            </w:r>
          </w:p>
        </w:tc>
        <w:tc>
          <w:tcPr>
            <w:tcW w:w="1419" w:type="dxa"/>
            <w:tcBorders>
              <w:left w:val="nil"/>
              <w:right w:val="nil"/>
            </w:tcBorders>
          </w:tcPr>
          <w:p w14:paraId="59A906AA" w14:textId="77777777" w:rsidR="004C21EE" w:rsidRPr="004C21EE" w:rsidRDefault="004C21EE" w:rsidP="004C21EE">
            <w:pPr>
              <w:pStyle w:val="TABLEBODY"/>
              <w:rPr>
                <w:sz w:val="20"/>
                <w:szCs w:val="20"/>
              </w:rPr>
            </w:pPr>
            <w:r w:rsidRPr="004C21EE">
              <w:rPr>
                <w:sz w:val="20"/>
                <w:szCs w:val="20"/>
              </w:rPr>
              <w:t>2.0</w:t>
            </w:r>
          </w:p>
        </w:tc>
        <w:tc>
          <w:tcPr>
            <w:tcW w:w="1641" w:type="dxa"/>
            <w:tcBorders>
              <w:left w:val="nil"/>
            </w:tcBorders>
          </w:tcPr>
          <w:p w14:paraId="447191EE" w14:textId="77777777" w:rsidR="004C21EE" w:rsidRPr="004C21EE" w:rsidRDefault="004C21EE" w:rsidP="004C21EE">
            <w:pPr>
              <w:pStyle w:val="TABLEBODY"/>
              <w:rPr>
                <w:sz w:val="20"/>
                <w:szCs w:val="20"/>
              </w:rPr>
            </w:pPr>
            <w:r w:rsidRPr="004C21EE">
              <w:rPr>
                <w:sz w:val="20"/>
                <w:szCs w:val="20"/>
              </w:rPr>
              <w:t>2.0</w:t>
            </w:r>
          </w:p>
        </w:tc>
      </w:tr>
      <w:tr w:rsidR="004C21EE" w:rsidRPr="004C21EE" w14:paraId="245DA1DC" w14:textId="77777777" w:rsidTr="00C47A49">
        <w:trPr>
          <w:jc w:val="center"/>
        </w:trPr>
        <w:tc>
          <w:tcPr>
            <w:tcW w:w="2642" w:type="dxa"/>
            <w:tcBorders>
              <w:right w:val="nil"/>
            </w:tcBorders>
          </w:tcPr>
          <w:p w14:paraId="75BE6F2A" w14:textId="77777777" w:rsidR="004C21EE" w:rsidRPr="004C21EE" w:rsidRDefault="004C21EE" w:rsidP="004C21EE">
            <w:pPr>
              <w:pStyle w:val="TABLEBODY"/>
              <w:rPr>
                <w:sz w:val="20"/>
                <w:szCs w:val="20"/>
              </w:rPr>
            </w:pPr>
            <w:r w:rsidRPr="004C21EE">
              <w:rPr>
                <w:sz w:val="20"/>
                <w:szCs w:val="20"/>
              </w:rPr>
              <w:t>Na</w:t>
            </w:r>
            <w:r w:rsidRPr="004C21EE">
              <w:rPr>
                <w:sz w:val="20"/>
                <w:szCs w:val="20"/>
                <w:vertAlign w:val="subscript"/>
              </w:rPr>
              <w:t>2</w:t>
            </w:r>
            <w:r w:rsidRPr="004C21EE">
              <w:rPr>
                <w:sz w:val="20"/>
                <w:szCs w:val="20"/>
              </w:rPr>
              <w:t>O, %</w:t>
            </w:r>
          </w:p>
        </w:tc>
        <w:tc>
          <w:tcPr>
            <w:tcW w:w="1661" w:type="dxa"/>
            <w:tcBorders>
              <w:left w:val="nil"/>
              <w:right w:val="nil"/>
            </w:tcBorders>
          </w:tcPr>
          <w:p w14:paraId="25BB97CB" w14:textId="77777777" w:rsidR="004C21EE" w:rsidRPr="004C21EE" w:rsidRDefault="004C21EE" w:rsidP="004C21EE">
            <w:pPr>
              <w:pStyle w:val="TABLEBODY"/>
              <w:rPr>
                <w:sz w:val="20"/>
                <w:szCs w:val="20"/>
              </w:rPr>
            </w:pPr>
            <w:r w:rsidRPr="004C21EE">
              <w:rPr>
                <w:sz w:val="20"/>
                <w:szCs w:val="20"/>
              </w:rPr>
              <w:t>0.28</w:t>
            </w:r>
          </w:p>
        </w:tc>
        <w:tc>
          <w:tcPr>
            <w:tcW w:w="1419" w:type="dxa"/>
            <w:tcBorders>
              <w:left w:val="nil"/>
              <w:right w:val="nil"/>
            </w:tcBorders>
          </w:tcPr>
          <w:p w14:paraId="28BB120D" w14:textId="77777777" w:rsidR="004C21EE" w:rsidRPr="004C21EE" w:rsidRDefault="004C21EE" w:rsidP="004C21EE">
            <w:pPr>
              <w:pStyle w:val="TABLEBODY"/>
              <w:rPr>
                <w:sz w:val="20"/>
                <w:szCs w:val="20"/>
              </w:rPr>
            </w:pPr>
            <w:r w:rsidRPr="004C21EE">
              <w:rPr>
                <w:b/>
                <w:sz w:val="20"/>
                <w:szCs w:val="20"/>
              </w:rPr>
              <w:t>–</w:t>
            </w:r>
          </w:p>
        </w:tc>
        <w:tc>
          <w:tcPr>
            <w:tcW w:w="1641" w:type="dxa"/>
            <w:tcBorders>
              <w:left w:val="nil"/>
            </w:tcBorders>
          </w:tcPr>
          <w:p w14:paraId="2BB04541" w14:textId="77777777" w:rsidR="004C21EE" w:rsidRPr="004C21EE" w:rsidRDefault="004C21EE" w:rsidP="004C21EE">
            <w:pPr>
              <w:pStyle w:val="TABLEBODY"/>
              <w:rPr>
                <w:sz w:val="20"/>
                <w:szCs w:val="20"/>
              </w:rPr>
            </w:pPr>
            <w:r w:rsidRPr="004C21EE">
              <w:rPr>
                <w:b/>
                <w:sz w:val="20"/>
                <w:szCs w:val="20"/>
              </w:rPr>
              <w:t>–</w:t>
            </w:r>
          </w:p>
        </w:tc>
      </w:tr>
      <w:tr w:rsidR="004C21EE" w:rsidRPr="004C21EE" w14:paraId="5F7718A0" w14:textId="77777777" w:rsidTr="00C47A49">
        <w:trPr>
          <w:jc w:val="center"/>
        </w:trPr>
        <w:tc>
          <w:tcPr>
            <w:tcW w:w="2642" w:type="dxa"/>
            <w:tcBorders>
              <w:right w:val="nil"/>
            </w:tcBorders>
          </w:tcPr>
          <w:p w14:paraId="37174732" w14:textId="77777777" w:rsidR="004C21EE" w:rsidRPr="004C21EE" w:rsidRDefault="004C21EE" w:rsidP="004C21EE">
            <w:pPr>
              <w:pStyle w:val="TABLEBODY"/>
              <w:rPr>
                <w:sz w:val="20"/>
                <w:szCs w:val="20"/>
              </w:rPr>
            </w:pPr>
            <w:r w:rsidRPr="004C21EE">
              <w:rPr>
                <w:sz w:val="20"/>
                <w:szCs w:val="20"/>
              </w:rPr>
              <w:t>K</w:t>
            </w:r>
            <w:r w:rsidRPr="004C21EE">
              <w:rPr>
                <w:sz w:val="20"/>
                <w:szCs w:val="20"/>
                <w:vertAlign w:val="subscript"/>
              </w:rPr>
              <w:t>2</w:t>
            </w:r>
            <w:r w:rsidRPr="004C21EE">
              <w:rPr>
                <w:sz w:val="20"/>
                <w:szCs w:val="20"/>
              </w:rPr>
              <w:t>O, %</w:t>
            </w:r>
          </w:p>
        </w:tc>
        <w:tc>
          <w:tcPr>
            <w:tcW w:w="1661" w:type="dxa"/>
            <w:tcBorders>
              <w:left w:val="nil"/>
              <w:right w:val="nil"/>
            </w:tcBorders>
          </w:tcPr>
          <w:p w14:paraId="13130D94" w14:textId="77777777" w:rsidR="004C21EE" w:rsidRPr="004C21EE" w:rsidRDefault="004C21EE" w:rsidP="004C21EE">
            <w:pPr>
              <w:pStyle w:val="TABLEBODY"/>
              <w:rPr>
                <w:sz w:val="20"/>
                <w:szCs w:val="20"/>
              </w:rPr>
            </w:pPr>
            <w:r w:rsidRPr="004C21EE">
              <w:rPr>
                <w:sz w:val="20"/>
                <w:szCs w:val="20"/>
              </w:rPr>
              <w:t>0.6</w:t>
            </w:r>
          </w:p>
        </w:tc>
        <w:tc>
          <w:tcPr>
            <w:tcW w:w="1419" w:type="dxa"/>
            <w:tcBorders>
              <w:left w:val="nil"/>
              <w:right w:val="nil"/>
            </w:tcBorders>
          </w:tcPr>
          <w:p w14:paraId="5CFC9405" w14:textId="77777777" w:rsidR="004C21EE" w:rsidRPr="004C21EE" w:rsidRDefault="004C21EE" w:rsidP="004C21EE">
            <w:pPr>
              <w:pStyle w:val="TABLEBODY"/>
              <w:rPr>
                <w:sz w:val="20"/>
                <w:szCs w:val="20"/>
              </w:rPr>
            </w:pPr>
            <w:r w:rsidRPr="004C21EE">
              <w:rPr>
                <w:b/>
                <w:sz w:val="20"/>
                <w:szCs w:val="20"/>
              </w:rPr>
              <w:t>–</w:t>
            </w:r>
          </w:p>
        </w:tc>
        <w:tc>
          <w:tcPr>
            <w:tcW w:w="1641" w:type="dxa"/>
            <w:tcBorders>
              <w:left w:val="nil"/>
            </w:tcBorders>
          </w:tcPr>
          <w:p w14:paraId="60C778ED" w14:textId="77777777" w:rsidR="004C21EE" w:rsidRPr="004C21EE" w:rsidRDefault="004C21EE" w:rsidP="004C21EE">
            <w:pPr>
              <w:pStyle w:val="TABLEBODY"/>
              <w:rPr>
                <w:sz w:val="20"/>
                <w:szCs w:val="20"/>
              </w:rPr>
            </w:pPr>
            <w:r w:rsidRPr="004C21EE">
              <w:rPr>
                <w:b/>
                <w:sz w:val="20"/>
                <w:szCs w:val="20"/>
              </w:rPr>
              <w:t>–</w:t>
            </w:r>
          </w:p>
        </w:tc>
      </w:tr>
      <w:tr w:rsidR="004C21EE" w:rsidRPr="004C21EE" w14:paraId="252CE5E0" w14:textId="77777777" w:rsidTr="00C47A49">
        <w:trPr>
          <w:jc w:val="center"/>
        </w:trPr>
        <w:tc>
          <w:tcPr>
            <w:tcW w:w="2642" w:type="dxa"/>
            <w:tcBorders>
              <w:right w:val="nil"/>
            </w:tcBorders>
          </w:tcPr>
          <w:p w14:paraId="76F8ADFA" w14:textId="77777777" w:rsidR="004C21EE" w:rsidRPr="004C21EE" w:rsidRDefault="004C21EE" w:rsidP="004C21EE">
            <w:pPr>
              <w:pStyle w:val="TABLEBODY"/>
              <w:rPr>
                <w:sz w:val="20"/>
                <w:szCs w:val="20"/>
              </w:rPr>
            </w:pPr>
            <w:r w:rsidRPr="004C21EE">
              <w:rPr>
                <w:sz w:val="20"/>
                <w:szCs w:val="20"/>
              </w:rPr>
              <w:t>TiO</w:t>
            </w:r>
            <w:r w:rsidRPr="004C21EE">
              <w:rPr>
                <w:sz w:val="20"/>
                <w:szCs w:val="20"/>
                <w:vertAlign w:val="subscript"/>
              </w:rPr>
              <w:t>2</w:t>
            </w:r>
            <w:r w:rsidRPr="004C21EE">
              <w:rPr>
                <w:sz w:val="20"/>
                <w:szCs w:val="20"/>
              </w:rPr>
              <w:t>, %</w:t>
            </w:r>
          </w:p>
        </w:tc>
        <w:tc>
          <w:tcPr>
            <w:tcW w:w="1661" w:type="dxa"/>
            <w:tcBorders>
              <w:left w:val="nil"/>
              <w:right w:val="nil"/>
            </w:tcBorders>
          </w:tcPr>
          <w:p w14:paraId="3D3759B0" w14:textId="77777777" w:rsidR="004C21EE" w:rsidRPr="004C21EE" w:rsidRDefault="004C21EE" w:rsidP="004C21EE">
            <w:pPr>
              <w:pStyle w:val="TABLEBODY"/>
              <w:rPr>
                <w:sz w:val="20"/>
                <w:szCs w:val="20"/>
              </w:rPr>
            </w:pPr>
            <w:r w:rsidRPr="004C21EE">
              <w:rPr>
                <w:sz w:val="20"/>
                <w:szCs w:val="20"/>
              </w:rPr>
              <w:t>0.37</w:t>
            </w:r>
          </w:p>
        </w:tc>
        <w:tc>
          <w:tcPr>
            <w:tcW w:w="1419" w:type="dxa"/>
            <w:tcBorders>
              <w:left w:val="nil"/>
              <w:right w:val="nil"/>
            </w:tcBorders>
          </w:tcPr>
          <w:p w14:paraId="0F78972C" w14:textId="77777777" w:rsidR="004C21EE" w:rsidRPr="004C21EE" w:rsidRDefault="004C21EE" w:rsidP="004C21EE">
            <w:pPr>
              <w:pStyle w:val="TABLEBODY"/>
              <w:rPr>
                <w:sz w:val="20"/>
                <w:szCs w:val="20"/>
              </w:rPr>
            </w:pPr>
            <w:r w:rsidRPr="004C21EE">
              <w:rPr>
                <w:b/>
                <w:sz w:val="20"/>
                <w:szCs w:val="20"/>
              </w:rPr>
              <w:t>–</w:t>
            </w:r>
          </w:p>
        </w:tc>
        <w:tc>
          <w:tcPr>
            <w:tcW w:w="1641" w:type="dxa"/>
            <w:tcBorders>
              <w:left w:val="nil"/>
            </w:tcBorders>
          </w:tcPr>
          <w:p w14:paraId="204C2B7C" w14:textId="77777777" w:rsidR="004C21EE" w:rsidRPr="004C21EE" w:rsidRDefault="004C21EE" w:rsidP="004C21EE">
            <w:pPr>
              <w:pStyle w:val="TABLEBODY"/>
              <w:rPr>
                <w:sz w:val="20"/>
                <w:szCs w:val="20"/>
              </w:rPr>
            </w:pPr>
            <w:r w:rsidRPr="004C21EE">
              <w:rPr>
                <w:b/>
                <w:sz w:val="20"/>
                <w:szCs w:val="20"/>
              </w:rPr>
              <w:t>–</w:t>
            </w:r>
          </w:p>
        </w:tc>
      </w:tr>
      <w:tr w:rsidR="004C21EE" w:rsidRPr="004C21EE" w14:paraId="6C3EF431" w14:textId="77777777" w:rsidTr="00C47A49">
        <w:trPr>
          <w:jc w:val="center"/>
        </w:trPr>
        <w:tc>
          <w:tcPr>
            <w:tcW w:w="2642" w:type="dxa"/>
            <w:tcBorders>
              <w:right w:val="nil"/>
            </w:tcBorders>
          </w:tcPr>
          <w:p w14:paraId="467B9432" w14:textId="77777777" w:rsidR="004C21EE" w:rsidRPr="004C21EE" w:rsidRDefault="004C21EE" w:rsidP="004C21EE">
            <w:pPr>
              <w:pStyle w:val="TABLEBODY"/>
              <w:rPr>
                <w:sz w:val="20"/>
                <w:szCs w:val="20"/>
              </w:rPr>
            </w:pPr>
            <w:proofErr w:type="spellStart"/>
            <w:r w:rsidRPr="004C21EE">
              <w:rPr>
                <w:sz w:val="20"/>
                <w:szCs w:val="20"/>
              </w:rPr>
              <w:t>MnO</w:t>
            </w:r>
            <w:proofErr w:type="spellEnd"/>
            <w:r w:rsidRPr="004C21EE">
              <w:rPr>
                <w:sz w:val="20"/>
                <w:szCs w:val="20"/>
              </w:rPr>
              <w:t>, %</w:t>
            </w:r>
          </w:p>
        </w:tc>
        <w:tc>
          <w:tcPr>
            <w:tcW w:w="1661" w:type="dxa"/>
            <w:tcBorders>
              <w:left w:val="nil"/>
              <w:right w:val="nil"/>
            </w:tcBorders>
          </w:tcPr>
          <w:p w14:paraId="0DF1297E" w14:textId="77777777" w:rsidR="004C21EE" w:rsidRPr="004C21EE" w:rsidRDefault="004C21EE" w:rsidP="004C21EE">
            <w:pPr>
              <w:pStyle w:val="TABLEBODY"/>
              <w:rPr>
                <w:sz w:val="20"/>
                <w:szCs w:val="20"/>
              </w:rPr>
            </w:pPr>
            <w:r w:rsidRPr="004C21EE">
              <w:rPr>
                <w:sz w:val="20"/>
                <w:szCs w:val="20"/>
              </w:rPr>
              <w:t>0.1</w:t>
            </w:r>
          </w:p>
        </w:tc>
        <w:tc>
          <w:tcPr>
            <w:tcW w:w="1419" w:type="dxa"/>
            <w:tcBorders>
              <w:left w:val="nil"/>
              <w:right w:val="nil"/>
            </w:tcBorders>
          </w:tcPr>
          <w:p w14:paraId="77D18CC1" w14:textId="77777777" w:rsidR="004C21EE" w:rsidRPr="004C21EE" w:rsidRDefault="004C21EE" w:rsidP="004C21EE">
            <w:pPr>
              <w:pStyle w:val="TABLEBODY"/>
              <w:rPr>
                <w:sz w:val="20"/>
                <w:szCs w:val="20"/>
              </w:rPr>
            </w:pPr>
            <w:r w:rsidRPr="004C21EE">
              <w:rPr>
                <w:b/>
                <w:sz w:val="20"/>
                <w:szCs w:val="20"/>
              </w:rPr>
              <w:t>–</w:t>
            </w:r>
          </w:p>
        </w:tc>
        <w:tc>
          <w:tcPr>
            <w:tcW w:w="1641" w:type="dxa"/>
            <w:tcBorders>
              <w:left w:val="nil"/>
            </w:tcBorders>
          </w:tcPr>
          <w:p w14:paraId="3D11BAFB" w14:textId="77777777" w:rsidR="004C21EE" w:rsidRPr="004C21EE" w:rsidRDefault="004C21EE" w:rsidP="004C21EE">
            <w:pPr>
              <w:pStyle w:val="TABLEBODY"/>
              <w:rPr>
                <w:sz w:val="20"/>
                <w:szCs w:val="20"/>
              </w:rPr>
            </w:pPr>
            <w:r w:rsidRPr="004C21EE">
              <w:rPr>
                <w:b/>
                <w:sz w:val="20"/>
                <w:szCs w:val="20"/>
              </w:rPr>
              <w:t>–</w:t>
            </w:r>
          </w:p>
        </w:tc>
      </w:tr>
      <w:tr w:rsidR="004C21EE" w:rsidRPr="004C21EE" w14:paraId="675F0F91" w14:textId="77777777" w:rsidTr="00C47A49">
        <w:trPr>
          <w:jc w:val="center"/>
        </w:trPr>
        <w:tc>
          <w:tcPr>
            <w:tcW w:w="2642" w:type="dxa"/>
            <w:tcBorders>
              <w:right w:val="nil"/>
            </w:tcBorders>
          </w:tcPr>
          <w:p w14:paraId="462AE0CE" w14:textId="77777777" w:rsidR="004C21EE" w:rsidRPr="004C21EE" w:rsidRDefault="004C21EE" w:rsidP="004C21EE">
            <w:pPr>
              <w:pStyle w:val="TABLEBODY"/>
              <w:rPr>
                <w:sz w:val="20"/>
                <w:szCs w:val="20"/>
              </w:rPr>
            </w:pPr>
            <w:r w:rsidRPr="004C21EE">
              <w:rPr>
                <w:sz w:val="20"/>
                <w:szCs w:val="20"/>
              </w:rPr>
              <w:t>Fe</w:t>
            </w:r>
            <w:r w:rsidRPr="004C21EE">
              <w:rPr>
                <w:sz w:val="20"/>
                <w:szCs w:val="20"/>
                <w:vertAlign w:val="subscript"/>
              </w:rPr>
              <w:t>2</w:t>
            </w:r>
            <w:r w:rsidRPr="004C21EE">
              <w:rPr>
                <w:sz w:val="20"/>
                <w:szCs w:val="20"/>
              </w:rPr>
              <w:t>O</w:t>
            </w:r>
            <w:r w:rsidRPr="004C21EE">
              <w:rPr>
                <w:sz w:val="20"/>
                <w:szCs w:val="20"/>
                <w:vertAlign w:val="subscript"/>
              </w:rPr>
              <w:t>3</w:t>
            </w:r>
            <w:r w:rsidRPr="004C21EE">
              <w:rPr>
                <w:sz w:val="20"/>
                <w:szCs w:val="20"/>
              </w:rPr>
              <w:t>, %</w:t>
            </w:r>
          </w:p>
        </w:tc>
        <w:tc>
          <w:tcPr>
            <w:tcW w:w="1661" w:type="dxa"/>
            <w:tcBorders>
              <w:left w:val="nil"/>
              <w:right w:val="nil"/>
            </w:tcBorders>
          </w:tcPr>
          <w:p w14:paraId="75FF12FA" w14:textId="77777777" w:rsidR="004C21EE" w:rsidRPr="004C21EE" w:rsidRDefault="004C21EE" w:rsidP="004C21EE">
            <w:pPr>
              <w:pStyle w:val="TABLEBODY"/>
              <w:rPr>
                <w:sz w:val="20"/>
                <w:szCs w:val="20"/>
              </w:rPr>
            </w:pPr>
            <w:r w:rsidRPr="004C21EE">
              <w:rPr>
                <w:sz w:val="20"/>
                <w:szCs w:val="20"/>
              </w:rPr>
              <w:t>2.6</w:t>
            </w:r>
          </w:p>
        </w:tc>
        <w:tc>
          <w:tcPr>
            <w:tcW w:w="1419" w:type="dxa"/>
            <w:tcBorders>
              <w:left w:val="nil"/>
              <w:right w:val="nil"/>
            </w:tcBorders>
          </w:tcPr>
          <w:p w14:paraId="55880059" w14:textId="77777777" w:rsidR="004C21EE" w:rsidRPr="004C21EE" w:rsidRDefault="004C21EE" w:rsidP="004C21EE">
            <w:pPr>
              <w:pStyle w:val="TABLEBODY"/>
              <w:rPr>
                <w:sz w:val="20"/>
                <w:szCs w:val="20"/>
              </w:rPr>
            </w:pPr>
            <w:r w:rsidRPr="004C21EE">
              <w:rPr>
                <w:sz w:val="20"/>
                <w:szCs w:val="20"/>
              </w:rPr>
              <w:t>0.2</w:t>
            </w:r>
          </w:p>
        </w:tc>
        <w:tc>
          <w:tcPr>
            <w:tcW w:w="1641" w:type="dxa"/>
            <w:tcBorders>
              <w:left w:val="nil"/>
            </w:tcBorders>
          </w:tcPr>
          <w:p w14:paraId="5D823604" w14:textId="77777777" w:rsidR="004C21EE" w:rsidRPr="004C21EE" w:rsidRDefault="004C21EE" w:rsidP="004C21EE">
            <w:pPr>
              <w:pStyle w:val="TABLEBODY"/>
              <w:rPr>
                <w:sz w:val="20"/>
                <w:szCs w:val="20"/>
              </w:rPr>
            </w:pPr>
            <w:r w:rsidRPr="004C21EE">
              <w:rPr>
                <w:sz w:val="20"/>
                <w:szCs w:val="20"/>
              </w:rPr>
              <w:t>0.2</w:t>
            </w:r>
          </w:p>
        </w:tc>
      </w:tr>
    </w:tbl>
    <w:p w14:paraId="44E51EE4" w14:textId="77777777" w:rsidR="004C21EE" w:rsidRPr="004C21EE" w:rsidRDefault="004C21EE" w:rsidP="004C21EE">
      <w:pPr>
        <w:pStyle w:val="TABLEFOOTNOTE"/>
        <w:jc w:val="center"/>
        <w:rPr>
          <w:sz w:val="20"/>
          <w:szCs w:val="20"/>
        </w:rPr>
      </w:pPr>
      <w:r w:rsidRPr="004C21EE">
        <w:rPr>
          <w:b/>
          <w:sz w:val="20"/>
          <w:szCs w:val="20"/>
        </w:rPr>
        <w:t xml:space="preserve">–  = </w:t>
      </w:r>
      <w:r w:rsidRPr="004C21EE">
        <w:rPr>
          <w:sz w:val="20"/>
          <w:szCs w:val="20"/>
        </w:rPr>
        <w:t>not measured items.</w:t>
      </w:r>
    </w:p>
    <w:p w14:paraId="24DEFC47" w14:textId="77777777" w:rsidR="004C21EE" w:rsidRDefault="004C21EE" w:rsidP="004C21EE">
      <w:pPr>
        <w:pStyle w:val="Heading2"/>
        <w:ind w:left="0"/>
        <w:jc w:val="left"/>
        <w:rPr>
          <w:lang w:eastAsia="ja-JP"/>
        </w:rPr>
      </w:pPr>
    </w:p>
    <w:p w14:paraId="1980F567" w14:textId="77777777" w:rsidR="00A02593" w:rsidRDefault="00A02593" w:rsidP="004C21EE">
      <w:pPr>
        <w:pStyle w:val="HEADING20"/>
        <w:rPr>
          <w:sz w:val="20"/>
          <w:szCs w:val="20"/>
          <w:u w:val="single"/>
          <w:lang w:eastAsia="ja-JP"/>
        </w:rPr>
      </w:pPr>
    </w:p>
    <w:p w14:paraId="03534072" w14:textId="77777777" w:rsidR="004C21EE" w:rsidRPr="003C4F96" w:rsidRDefault="004C21EE" w:rsidP="004C21EE">
      <w:pPr>
        <w:pStyle w:val="HEADING20"/>
        <w:rPr>
          <w:sz w:val="20"/>
          <w:szCs w:val="20"/>
          <w:lang w:eastAsia="ja-JP"/>
        </w:rPr>
      </w:pPr>
      <w:r w:rsidRPr="003C4F96">
        <w:rPr>
          <w:rFonts w:hint="eastAsia"/>
          <w:sz w:val="20"/>
          <w:szCs w:val="20"/>
          <w:lang w:eastAsia="ja-JP"/>
        </w:rPr>
        <w:t>S</w:t>
      </w:r>
      <w:r w:rsidRPr="003C4F96">
        <w:rPr>
          <w:sz w:val="20"/>
          <w:szCs w:val="20"/>
          <w:lang w:eastAsia="ja-JP"/>
        </w:rPr>
        <w:t>pecimens</w:t>
      </w:r>
    </w:p>
    <w:p w14:paraId="2BDC0897" w14:textId="77777777" w:rsidR="004C21EE" w:rsidRPr="004C21EE" w:rsidRDefault="004C21EE" w:rsidP="004C21EE">
      <w:pPr>
        <w:pStyle w:val="BODYNOINDENT"/>
        <w:spacing w:line="240" w:lineRule="auto"/>
        <w:rPr>
          <w:sz w:val="20"/>
          <w:szCs w:val="20"/>
        </w:rPr>
      </w:pPr>
      <w:r w:rsidRPr="004C21EE">
        <w:rPr>
          <w:rFonts w:hint="eastAsia"/>
          <w:sz w:val="20"/>
          <w:szCs w:val="20"/>
        </w:rPr>
        <w:t xml:space="preserve">Plain and reinforced cylinder specimens of diameter </w:t>
      </w:r>
      <w:r w:rsidRPr="004C21EE">
        <w:rPr>
          <w:sz w:val="20"/>
          <w:szCs w:val="20"/>
        </w:rPr>
        <w:t>3.94 in. (</w:t>
      </w:r>
      <w:r w:rsidRPr="004C21EE">
        <w:rPr>
          <w:rFonts w:hint="eastAsia"/>
          <w:sz w:val="20"/>
          <w:szCs w:val="20"/>
        </w:rPr>
        <w:t>100 mm</w:t>
      </w:r>
      <w:r w:rsidRPr="004C21EE">
        <w:rPr>
          <w:sz w:val="20"/>
          <w:szCs w:val="20"/>
        </w:rPr>
        <w:t>)</w:t>
      </w:r>
      <w:r w:rsidRPr="004C21EE">
        <w:rPr>
          <w:rFonts w:hint="eastAsia"/>
          <w:sz w:val="20"/>
          <w:szCs w:val="20"/>
        </w:rPr>
        <w:t xml:space="preserve"> and length</w:t>
      </w:r>
      <w:r w:rsidRPr="004C21EE">
        <w:rPr>
          <w:sz w:val="20"/>
          <w:szCs w:val="20"/>
        </w:rPr>
        <w:t xml:space="preserve"> 7.87 in. (</w:t>
      </w:r>
      <w:r w:rsidRPr="004C21EE">
        <w:rPr>
          <w:rFonts w:hint="eastAsia"/>
          <w:sz w:val="20"/>
          <w:szCs w:val="20"/>
        </w:rPr>
        <w:t>200 mm</w:t>
      </w:r>
      <w:r w:rsidRPr="004C21EE">
        <w:rPr>
          <w:sz w:val="20"/>
          <w:szCs w:val="20"/>
        </w:rPr>
        <w:t>)</w:t>
      </w:r>
      <w:r w:rsidRPr="004C21EE">
        <w:rPr>
          <w:rFonts w:hint="eastAsia"/>
          <w:sz w:val="20"/>
          <w:szCs w:val="20"/>
        </w:rPr>
        <w:t xml:space="preserve"> were investigated</w:t>
      </w:r>
      <w:r w:rsidRPr="004C21EE">
        <w:rPr>
          <w:sz w:val="20"/>
          <w:szCs w:val="20"/>
        </w:rPr>
        <w:t xml:space="preserve">. The test setup is </w:t>
      </w:r>
      <w:r w:rsidRPr="004C21EE">
        <w:rPr>
          <w:rFonts w:hint="eastAsia"/>
          <w:sz w:val="20"/>
          <w:szCs w:val="20"/>
        </w:rPr>
        <w:t xml:space="preserve">shown in Fig. 1. Round steel bars of diameter </w:t>
      </w:r>
      <w:r w:rsidRPr="004C21EE">
        <w:rPr>
          <w:sz w:val="20"/>
          <w:szCs w:val="20"/>
        </w:rPr>
        <w:t>0.35 in. (</w:t>
      </w:r>
      <w:r w:rsidRPr="004C21EE">
        <w:rPr>
          <w:rFonts w:hint="eastAsia"/>
          <w:sz w:val="20"/>
          <w:szCs w:val="20"/>
        </w:rPr>
        <w:t>9 mm</w:t>
      </w:r>
      <w:r w:rsidRPr="004C21EE">
        <w:rPr>
          <w:sz w:val="20"/>
          <w:szCs w:val="20"/>
        </w:rPr>
        <w:t>)</w:t>
      </w:r>
      <w:r w:rsidRPr="004C21EE">
        <w:rPr>
          <w:rFonts w:hint="eastAsia"/>
          <w:sz w:val="20"/>
          <w:szCs w:val="20"/>
        </w:rPr>
        <w:t xml:space="preserve"> and length </w:t>
      </w:r>
      <w:r w:rsidRPr="004C21EE">
        <w:rPr>
          <w:sz w:val="20"/>
          <w:szCs w:val="20"/>
        </w:rPr>
        <w:t>5.51 in. (</w:t>
      </w:r>
      <w:r w:rsidRPr="004C21EE">
        <w:rPr>
          <w:rFonts w:hint="eastAsia"/>
          <w:sz w:val="20"/>
          <w:szCs w:val="20"/>
        </w:rPr>
        <w:t>140 mm</w:t>
      </w:r>
      <w:r w:rsidRPr="004C21EE">
        <w:rPr>
          <w:sz w:val="20"/>
          <w:szCs w:val="20"/>
        </w:rPr>
        <w:t>)</w:t>
      </w:r>
      <w:r w:rsidRPr="004C21EE">
        <w:rPr>
          <w:rFonts w:hint="eastAsia"/>
          <w:sz w:val="20"/>
          <w:szCs w:val="20"/>
        </w:rPr>
        <w:t xml:space="preserve"> were embedded at cover depths of </w:t>
      </w:r>
      <w:r w:rsidRPr="004C21EE">
        <w:rPr>
          <w:sz w:val="20"/>
          <w:szCs w:val="20"/>
        </w:rPr>
        <w:t>0.79 and 1.79 in. (</w:t>
      </w:r>
      <w:r w:rsidRPr="004C21EE">
        <w:rPr>
          <w:rFonts w:hint="eastAsia"/>
          <w:sz w:val="20"/>
          <w:szCs w:val="20"/>
        </w:rPr>
        <w:t>20 and 45.5 mm</w:t>
      </w:r>
      <w:r w:rsidRPr="004C21EE">
        <w:rPr>
          <w:sz w:val="20"/>
          <w:szCs w:val="20"/>
        </w:rPr>
        <w:t>)</w:t>
      </w:r>
      <w:r w:rsidRPr="004C21EE">
        <w:rPr>
          <w:rFonts w:hint="eastAsia"/>
          <w:sz w:val="20"/>
          <w:szCs w:val="20"/>
        </w:rPr>
        <w:t xml:space="preserve">. </w:t>
      </w:r>
    </w:p>
    <w:p w14:paraId="33426505" w14:textId="77777777" w:rsidR="004C21EE" w:rsidRDefault="004C21EE" w:rsidP="004C21EE">
      <w:pPr>
        <w:pStyle w:val="BodyText"/>
        <w:ind w:right="19"/>
        <w:jc w:val="both"/>
      </w:pPr>
    </w:p>
    <w:p w14:paraId="152A4B55" w14:textId="77777777" w:rsidR="004C21EE" w:rsidRDefault="004C21EE" w:rsidP="004C21EE">
      <w:pPr>
        <w:pStyle w:val="BodyText"/>
        <w:ind w:right="19"/>
        <w:jc w:val="both"/>
      </w:pPr>
    </w:p>
    <w:p w14:paraId="1298BF8B" w14:textId="77777777" w:rsidR="004C21EE" w:rsidRDefault="004C21EE" w:rsidP="004C21EE">
      <w:pPr>
        <w:pStyle w:val="BodyText"/>
        <w:ind w:right="19"/>
        <w:jc w:val="both"/>
      </w:pPr>
    </w:p>
    <w:p w14:paraId="08F8EBCD" w14:textId="77777777" w:rsidR="004C21EE" w:rsidRDefault="004C21EE" w:rsidP="004C21EE">
      <w:pPr>
        <w:pStyle w:val="Footer"/>
        <w:jc w:val="center"/>
      </w:pPr>
      <w:r>
        <w:rPr>
          <w:noProof/>
        </w:rPr>
        <w:drawing>
          <wp:inline distT="0" distB="0" distL="0" distR="0" wp14:anchorId="3C10E57E" wp14:editId="6F40DD79">
            <wp:extent cx="2967136" cy="2246812"/>
            <wp:effectExtent l="0" t="0" r="5080" b="127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8769" cy="2263193"/>
                    </a:xfrm>
                    <a:prstGeom prst="rect">
                      <a:avLst/>
                    </a:prstGeom>
                    <a:noFill/>
                    <a:ln>
                      <a:noFill/>
                    </a:ln>
                  </pic:spPr>
                </pic:pic>
              </a:graphicData>
            </a:graphic>
          </wp:inline>
        </w:drawing>
      </w:r>
    </w:p>
    <w:p w14:paraId="507AC2B5" w14:textId="77777777" w:rsidR="004C21EE" w:rsidRPr="00AF78A4" w:rsidRDefault="004C21EE" w:rsidP="003F50D7">
      <w:pPr>
        <w:pStyle w:val="FIGCAPTION"/>
        <w:adjustRightInd w:val="0"/>
        <w:snapToGrid w:val="0"/>
        <w:spacing w:line="240" w:lineRule="auto"/>
        <w:jc w:val="center"/>
        <w:rPr>
          <w:b/>
          <w:bCs/>
          <w:i w:val="0"/>
          <w:iCs/>
          <w:sz w:val="20"/>
          <w:szCs w:val="20"/>
          <w:lang w:val="en-GB"/>
        </w:rPr>
      </w:pPr>
      <w:r w:rsidRPr="00AF78A4">
        <w:rPr>
          <w:b/>
          <w:bCs/>
          <w:i w:val="0"/>
          <w:iCs/>
          <w:sz w:val="20"/>
          <w:szCs w:val="20"/>
          <w:lang w:val="en-GB"/>
        </w:rPr>
        <w:t>Fig. 1</w:t>
      </w:r>
      <w:r w:rsidRPr="00AF78A4">
        <w:rPr>
          <w:b/>
          <w:bCs/>
          <w:i w:val="0"/>
          <w:iCs/>
          <w:sz w:val="20"/>
          <w:szCs w:val="20"/>
        </w:rPr>
        <w:t>–</w:t>
      </w:r>
      <w:r w:rsidRPr="00AF78A4">
        <w:rPr>
          <w:b/>
          <w:bCs/>
          <w:i w:val="0"/>
          <w:iCs/>
          <w:sz w:val="20"/>
          <w:szCs w:val="20"/>
          <w:lang w:val="en-GB"/>
        </w:rPr>
        <w:t>An overview of a specimen in position ready for testing.</w:t>
      </w:r>
    </w:p>
    <w:p w14:paraId="108C6C2E" w14:textId="77777777" w:rsidR="003F50D7" w:rsidRDefault="003F50D7" w:rsidP="003F50D7">
      <w:pPr>
        <w:pStyle w:val="HEADING10"/>
        <w:spacing w:line="240" w:lineRule="auto"/>
        <w:rPr>
          <w:sz w:val="20"/>
          <w:szCs w:val="20"/>
        </w:rPr>
      </w:pPr>
      <w:r w:rsidRPr="003F50D7">
        <w:rPr>
          <w:bCs/>
          <w:sz w:val="20"/>
          <w:szCs w:val="20"/>
        </w:rPr>
        <w:t xml:space="preserve">Analytical investigation </w:t>
      </w:r>
      <w:r w:rsidRPr="003F50D7">
        <w:rPr>
          <w:sz w:val="20"/>
          <w:szCs w:val="20"/>
          <w:highlight w:val="yellow"/>
        </w:rPr>
        <w:t>(or analytical procedure)</w:t>
      </w:r>
    </w:p>
    <w:p w14:paraId="761ECCB1" w14:textId="77777777" w:rsidR="003F50D7" w:rsidRPr="003F50D7" w:rsidRDefault="003F50D7" w:rsidP="003F50D7">
      <w:pPr>
        <w:pStyle w:val="HEADING10"/>
        <w:spacing w:before="0" w:line="240" w:lineRule="auto"/>
        <w:rPr>
          <w:sz w:val="20"/>
          <w:szCs w:val="20"/>
        </w:rPr>
      </w:pPr>
    </w:p>
    <w:p w14:paraId="169F940B" w14:textId="77777777" w:rsidR="003F50D7" w:rsidRPr="003F50D7" w:rsidRDefault="003F50D7" w:rsidP="003F50D7">
      <w:pPr>
        <w:pStyle w:val="BODYNOINDENT"/>
        <w:spacing w:line="240" w:lineRule="auto"/>
        <w:rPr>
          <w:sz w:val="20"/>
          <w:szCs w:val="20"/>
        </w:rPr>
      </w:pPr>
      <w:r w:rsidRPr="003F50D7">
        <w:rPr>
          <w:sz w:val="20"/>
          <w:szCs w:val="20"/>
        </w:rPr>
        <w:t>The maximum prestress force in the CFRP tendons should be limited to 65% of the specified tensile strength of tendon</w:t>
      </w:r>
      <w:r>
        <w:rPr>
          <w:sz w:val="20"/>
          <w:szCs w:val="20"/>
        </w:rPr>
        <w:t xml:space="preserve">s. </w:t>
      </w:r>
      <w:r w:rsidRPr="003F50D7">
        <w:rPr>
          <w:sz w:val="20"/>
          <w:szCs w:val="20"/>
        </w:rPr>
        <w:t xml:space="preserve">It is suggested by </w:t>
      </w:r>
      <w:proofErr w:type="spellStart"/>
      <w:r w:rsidRPr="003F50D7">
        <w:rPr>
          <w:sz w:val="20"/>
          <w:szCs w:val="20"/>
        </w:rPr>
        <w:t>Hognested</w:t>
      </w:r>
      <w:proofErr w:type="spellEnd"/>
      <w:r w:rsidRPr="003F50D7">
        <w:rPr>
          <w:sz w:val="20"/>
          <w:szCs w:val="20"/>
        </w:rPr>
        <w:t xml:space="preserve"> </w:t>
      </w:r>
      <w:r>
        <w:rPr>
          <w:sz w:val="20"/>
          <w:szCs w:val="20"/>
        </w:rPr>
        <w:t xml:space="preserve">[1] </w:t>
      </w:r>
      <w:r w:rsidRPr="003F50D7">
        <w:rPr>
          <w:sz w:val="20"/>
          <w:szCs w:val="20"/>
        </w:rPr>
        <w:t xml:space="preserve">that an appropriate value of the elastic modulus of a concrete member, subjected to bending and axial load, can be obtained from </w:t>
      </w:r>
      <w:r w:rsidRPr="003F50D7">
        <w:rPr>
          <w:sz w:val="20"/>
          <w:szCs w:val="20"/>
          <w:highlight w:val="yellow"/>
        </w:rPr>
        <w:t>(Equations should be numbered)</w:t>
      </w:r>
      <w:r w:rsidRPr="003F50D7">
        <w:rPr>
          <w:sz w:val="20"/>
          <w:szCs w:val="20"/>
        </w:rPr>
        <w:t>:</w:t>
      </w:r>
    </w:p>
    <w:p w14:paraId="02FF3980" w14:textId="77777777" w:rsidR="003F50D7" w:rsidRPr="003F50D7" w:rsidRDefault="00870D3F" w:rsidP="003F50D7">
      <w:pPr>
        <w:pStyle w:val="EQUATION"/>
        <w:spacing w:line="240" w:lineRule="auto"/>
        <w:jc w:val="center"/>
        <w:rPr>
          <w:sz w:val="20"/>
          <w:szCs w:val="20"/>
        </w:rPr>
      </w:pPr>
      <w:r w:rsidRPr="00E047A7">
        <w:rPr>
          <w:noProof/>
          <w:position w:val="-14"/>
          <w:sz w:val="20"/>
          <w:szCs w:val="20"/>
        </w:rPr>
        <w:object w:dxaOrig="2760" w:dyaOrig="420" w14:anchorId="267D6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17.35pt;height:18pt;mso-width-percent:0;mso-height-percent:0;mso-width-percent:0;mso-height-percent:0" o:ole="" fillcolor="window">
            <v:imagedata r:id="rId8" o:title=""/>
          </v:shape>
          <o:OLEObject Type="Embed" ProgID="Equation.3" ShapeID="_x0000_i1026" DrawAspect="Content" ObjectID="_1805481761" r:id="rId9"/>
        </w:object>
      </w:r>
      <w:r w:rsidR="003F50D7" w:rsidRPr="003F50D7">
        <w:rPr>
          <w:sz w:val="20"/>
          <w:szCs w:val="20"/>
        </w:rPr>
        <w:tab/>
        <w:t>(1)</w:t>
      </w:r>
    </w:p>
    <w:p w14:paraId="144D8C44" w14:textId="77777777" w:rsidR="003F50D7" w:rsidRPr="003F50D7" w:rsidRDefault="003F50D7" w:rsidP="003F50D7">
      <w:pPr>
        <w:pStyle w:val="BODYCONTINUED"/>
        <w:spacing w:line="240" w:lineRule="auto"/>
        <w:rPr>
          <w:sz w:val="20"/>
          <w:szCs w:val="20"/>
        </w:rPr>
      </w:pPr>
      <w:r w:rsidRPr="003F50D7">
        <w:rPr>
          <w:sz w:val="20"/>
          <w:szCs w:val="20"/>
        </w:rPr>
        <w:t xml:space="preserve">where  </w:t>
      </w:r>
      <w:r w:rsidR="00870D3F" w:rsidRPr="00E047A7">
        <w:rPr>
          <w:noProof/>
          <w:position w:val="-12"/>
          <w:sz w:val="20"/>
          <w:szCs w:val="20"/>
        </w:rPr>
        <w:object w:dxaOrig="360" w:dyaOrig="360" w14:anchorId="027C39B6">
          <v:shape id="_x0000_i1025" type="#_x0000_t75" alt="" style="width:18pt;height:18pt;mso-width-percent:0;mso-height-percent:0;mso-width-percent:0;mso-height-percent:0" o:ole="" fillcolor="window">
            <v:imagedata r:id="rId10" o:title=""/>
          </v:shape>
          <o:OLEObject Type="Embed" ProgID="Equation.3" ShapeID="_x0000_i1025" DrawAspect="Content" ObjectID="_1805481762" r:id="rId11"/>
        </w:object>
      </w:r>
      <w:r w:rsidRPr="003F50D7">
        <w:rPr>
          <w:sz w:val="20"/>
          <w:szCs w:val="20"/>
        </w:rPr>
        <w:t xml:space="preserve"> is the cylinder strength of concrete………</w:t>
      </w:r>
      <w:proofErr w:type="gramStart"/>
      <w:r w:rsidRPr="003F50D7">
        <w:rPr>
          <w:sz w:val="20"/>
          <w:szCs w:val="20"/>
        </w:rPr>
        <w:t>…..</w:t>
      </w:r>
      <w:proofErr w:type="gramEnd"/>
    </w:p>
    <w:p w14:paraId="7E0AB8FC" w14:textId="77777777" w:rsidR="003F50D7" w:rsidRDefault="003F50D7" w:rsidP="003F50D7">
      <w:pPr>
        <w:pStyle w:val="HEADING10"/>
        <w:spacing w:line="240" w:lineRule="auto"/>
        <w:rPr>
          <w:sz w:val="20"/>
          <w:szCs w:val="20"/>
        </w:rPr>
      </w:pPr>
      <w:r w:rsidRPr="003F50D7">
        <w:rPr>
          <w:rFonts w:hint="eastAsia"/>
          <w:sz w:val="20"/>
          <w:szCs w:val="20"/>
        </w:rPr>
        <w:t>EXPERIMENTAL RESULTS AND DISCUSSION</w:t>
      </w:r>
    </w:p>
    <w:p w14:paraId="7C6799CC" w14:textId="77777777" w:rsidR="003F50D7" w:rsidRPr="003F50D7" w:rsidRDefault="003F50D7" w:rsidP="003F50D7">
      <w:pPr>
        <w:pStyle w:val="HEADING10"/>
        <w:spacing w:before="0" w:line="240" w:lineRule="auto"/>
        <w:rPr>
          <w:sz w:val="20"/>
          <w:szCs w:val="20"/>
        </w:rPr>
      </w:pPr>
    </w:p>
    <w:p w14:paraId="2D8429DC" w14:textId="77777777" w:rsidR="003F50D7" w:rsidRPr="003C4F96" w:rsidRDefault="003F50D7" w:rsidP="003F50D7">
      <w:pPr>
        <w:pStyle w:val="HEADING20"/>
        <w:rPr>
          <w:sz w:val="20"/>
          <w:szCs w:val="20"/>
        </w:rPr>
      </w:pPr>
      <w:r w:rsidRPr="003C4F96">
        <w:rPr>
          <w:rFonts w:hint="eastAsia"/>
          <w:sz w:val="20"/>
          <w:szCs w:val="20"/>
        </w:rPr>
        <w:t xml:space="preserve">Compressive </w:t>
      </w:r>
      <w:r w:rsidRPr="003C4F96">
        <w:rPr>
          <w:sz w:val="20"/>
          <w:szCs w:val="20"/>
        </w:rPr>
        <w:t>s</w:t>
      </w:r>
      <w:r w:rsidRPr="003C4F96">
        <w:rPr>
          <w:rFonts w:hint="eastAsia"/>
          <w:sz w:val="20"/>
          <w:szCs w:val="20"/>
        </w:rPr>
        <w:t xml:space="preserve">trength and </w:t>
      </w:r>
      <w:r w:rsidRPr="003C4F96">
        <w:rPr>
          <w:sz w:val="20"/>
          <w:szCs w:val="20"/>
        </w:rPr>
        <w:t>Y</w:t>
      </w:r>
      <w:r w:rsidRPr="003C4F96">
        <w:rPr>
          <w:rFonts w:hint="eastAsia"/>
          <w:sz w:val="20"/>
          <w:szCs w:val="20"/>
        </w:rPr>
        <w:t>oung</w:t>
      </w:r>
      <w:r w:rsidRPr="003C4F96">
        <w:rPr>
          <w:sz w:val="20"/>
          <w:szCs w:val="20"/>
        </w:rPr>
        <w:t>’</w:t>
      </w:r>
      <w:r w:rsidRPr="003C4F96">
        <w:rPr>
          <w:rFonts w:hint="eastAsia"/>
          <w:sz w:val="20"/>
          <w:szCs w:val="20"/>
        </w:rPr>
        <w:t xml:space="preserve">s </w:t>
      </w:r>
      <w:r w:rsidRPr="003C4F96">
        <w:rPr>
          <w:sz w:val="20"/>
          <w:szCs w:val="20"/>
        </w:rPr>
        <w:t>m</w:t>
      </w:r>
      <w:r w:rsidRPr="003C4F96">
        <w:rPr>
          <w:rFonts w:hint="eastAsia"/>
          <w:sz w:val="20"/>
          <w:szCs w:val="20"/>
        </w:rPr>
        <w:t xml:space="preserve">odulus of </w:t>
      </w:r>
      <w:r w:rsidRPr="003C4F96">
        <w:rPr>
          <w:sz w:val="20"/>
          <w:szCs w:val="20"/>
        </w:rPr>
        <w:t>e</w:t>
      </w:r>
      <w:r w:rsidRPr="003C4F96">
        <w:rPr>
          <w:rFonts w:hint="eastAsia"/>
          <w:sz w:val="20"/>
          <w:szCs w:val="20"/>
        </w:rPr>
        <w:t xml:space="preserve">lasticity </w:t>
      </w:r>
    </w:p>
    <w:p w14:paraId="4246B56A" w14:textId="77777777" w:rsidR="003F50D7" w:rsidRPr="003F50D7" w:rsidRDefault="003F50D7" w:rsidP="003F50D7">
      <w:pPr>
        <w:pStyle w:val="BODYNOINDENT"/>
        <w:spacing w:line="240" w:lineRule="auto"/>
        <w:rPr>
          <w:sz w:val="20"/>
          <w:szCs w:val="20"/>
        </w:rPr>
      </w:pPr>
      <w:r w:rsidRPr="003F50D7">
        <w:rPr>
          <w:rFonts w:hint="eastAsia"/>
          <w:sz w:val="20"/>
          <w:szCs w:val="20"/>
        </w:rPr>
        <w:t>Compressive strengths and Young</w:t>
      </w:r>
      <w:r w:rsidRPr="003F50D7">
        <w:rPr>
          <w:sz w:val="20"/>
          <w:szCs w:val="20"/>
        </w:rPr>
        <w:t>’</w:t>
      </w:r>
      <w:r w:rsidRPr="003F50D7">
        <w:rPr>
          <w:rFonts w:hint="eastAsia"/>
          <w:sz w:val="20"/>
          <w:szCs w:val="20"/>
        </w:rPr>
        <w:t>s modulus of elasticity of concrete at 28</w:t>
      </w:r>
      <w:r w:rsidRPr="003F50D7">
        <w:rPr>
          <w:sz w:val="20"/>
          <w:szCs w:val="20"/>
        </w:rPr>
        <w:t xml:space="preserve"> </w:t>
      </w:r>
      <w:r w:rsidRPr="003F50D7">
        <w:rPr>
          <w:rFonts w:hint="eastAsia"/>
          <w:sz w:val="20"/>
          <w:szCs w:val="20"/>
        </w:rPr>
        <w:t>day</w:t>
      </w:r>
      <w:r w:rsidRPr="003F50D7">
        <w:rPr>
          <w:sz w:val="20"/>
          <w:szCs w:val="20"/>
        </w:rPr>
        <w:t>s</w:t>
      </w:r>
      <w:r w:rsidRPr="003F50D7">
        <w:rPr>
          <w:rFonts w:hint="eastAsia"/>
          <w:sz w:val="20"/>
          <w:szCs w:val="20"/>
        </w:rPr>
        <w:t xml:space="preserve"> and after 10</w:t>
      </w:r>
      <w:r w:rsidRPr="003F50D7">
        <w:rPr>
          <w:sz w:val="20"/>
          <w:szCs w:val="20"/>
        </w:rPr>
        <w:t xml:space="preserve"> </w:t>
      </w:r>
      <w:r w:rsidRPr="003F50D7">
        <w:rPr>
          <w:rFonts w:hint="eastAsia"/>
          <w:sz w:val="20"/>
          <w:szCs w:val="20"/>
        </w:rPr>
        <w:t>year</w:t>
      </w:r>
      <w:r w:rsidRPr="003F50D7">
        <w:rPr>
          <w:sz w:val="20"/>
          <w:szCs w:val="20"/>
        </w:rPr>
        <w:t>s</w:t>
      </w:r>
      <w:r w:rsidRPr="003F50D7">
        <w:rPr>
          <w:rFonts w:hint="eastAsia"/>
          <w:sz w:val="20"/>
          <w:szCs w:val="20"/>
        </w:rPr>
        <w:t xml:space="preserve"> of </w:t>
      </w:r>
      <w:r w:rsidRPr="003F50D7">
        <w:rPr>
          <w:sz w:val="20"/>
          <w:szCs w:val="20"/>
        </w:rPr>
        <w:t>exposure</w:t>
      </w:r>
      <w:r w:rsidRPr="003F50D7">
        <w:rPr>
          <w:rFonts w:hint="eastAsia"/>
          <w:sz w:val="20"/>
          <w:szCs w:val="20"/>
        </w:rPr>
        <w:t xml:space="preserve"> in the tidal environment are shown in </w:t>
      </w:r>
      <w:r w:rsidRPr="003F50D7">
        <w:rPr>
          <w:sz w:val="20"/>
          <w:szCs w:val="20"/>
        </w:rPr>
        <w:t>……</w:t>
      </w:r>
      <w:proofErr w:type="gramStart"/>
      <w:r w:rsidRPr="003F50D7">
        <w:rPr>
          <w:sz w:val="20"/>
          <w:szCs w:val="20"/>
        </w:rPr>
        <w:t>…..</w:t>
      </w:r>
      <w:proofErr w:type="gramEnd"/>
      <w:r w:rsidRPr="003F50D7">
        <w:rPr>
          <w:rFonts w:hint="eastAsia"/>
          <w:b/>
          <w:bCs/>
          <w:sz w:val="20"/>
          <w:szCs w:val="20"/>
        </w:rPr>
        <w:t xml:space="preserve"> </w:t>
      </w:r>
    </w:p>
    <w:p w14:paraId="2DAA6AD7" w14:textId="77777777" w:rsidR="003F50D7" w:rsidRPr="003F50D7" w:rsidRDefault="003F50D7" w:rsidP="003F50D7">
      <w:pPr>
        <w:pStyle w:val="HEADING10"/>
        <w:spacing w:line="240" w:lineRule="auto"/>
        <w:rPr>
          <w:sz w:val="20"/>
          <w:szCs w:val="20"/>
        </w:rPr>
      </w:pPr>
      <w:r w:rsidRPr="003F50D7">
        <w:rPr>
          <w:rFonts w:hint="eastAsia"/>
          <w:sz w:val="20"/>
          <w:szCs w:val="20"/>
        </w:rPr>
        <w:t xml:space="preserve">FURTHER </w:t>
      </w:r>
      <w:r w:rsidRPr="003F50D7">
        <w:rPr>
          <w:sz w:val="20"/>
          <w:szCs w:val="20"/>
        </w:rPr>
        <w:t xml:space="preserve">RESEARCH </w:t>
      </w:r>
      <w:r w:rsidRPr="003F50D7">
        <w:rPr>
          <w:sz w:val="20"/>
          <w:szCs w:val="20"/>
          <w:highlight w:val="yellow"/>
        </w:rPr>
        <w:t>(If applicable)</w:t>
      </w:r>
    </w:p>
    <w:p w14:paraId="7DD190F2" w14:textId="77777777" w:rsidR="003F50D7" w:rsidRDefault="003F50D7" w:rsidP="003F50D7">
      <w:pPr>
        <w:pStyle w:val="BODYNOINDENT"/>
        <w:spacing w:line="240" w:lineRule="auto"/>
        <w:rPr>
          <w:sz w:val="20"/>
          <w:szCs w:val="20"/>
        </w:rPr>
      </w:pPr>
    </w:p>
    <w:p w14:paraId="6BB281C2" w14:textId="77777777" w:rsidR="003F50D7" w:rsidRPr="003F50D7" w:rsidRDefault="003F50D7" w:rsidP="003F50D7">
      <w:pPr>
        <w:pStyle w:val="BODYNOINDENT"/>
        <w:spacing w:line="240" w:lineRule="auto"/>
        <w:rPr>
          <w:sz w:val="20"/>
          <w:szCs w:val="20"/>
        </w:rPr>
      </w:pPr>
      <w:r w:rsidRPr="003F50D7">
        <w:rPr>
          <w:sz w:val="20"/>
          <w:szCs w:val="20"/>
        </w:rPr>
        <w:t xml:space="preserve">It is desirable to test </w:t>
      </w:r>
      <w:r w:rsidRPr="003F50D7">
        <w:rPr>
          <w:rFonts w:hint="eastAsia"/>
          <w:sz w:val="20"/>
          <w:szCs w:val="20"/>
        </w:rPr>
        <w:t xml:space="preserve">specimens at the age of 20 </w:t>
      </w:r>
      <w:r w:rsidRPr="003F50D7">
        <w:rPr>
          <w:sz w:val="20"/>
          <w:szCs w:val="20"/>
        </w:rPr>
        <w:t xml:space="preserve">or more </w:t>
      </w:r>
      <w:r w:rsidRPr="003F50D7">
        <w:rPr>
          <w:rFonts w:hint="eastAsia"/>
          <w:sz w:val="20"/>
          <w:szCs w:val="20"/>
        </w:rPr>
        <w:t>years of exposure</w:t>
      </w:r>
      <w:r w:rsidRPr="003F50D7">
        <w:rPr>
          <w:sz w:val="20"/>
          <w:szCs w:val="20"/>
        </w:rPr>
        <w:t>,</w:t>
      </w:r>
      <w:r w:rsidRPr="003F50D7">
        <w:rPr>
          <w:rFonts w:hint="eastAsia"/>
          <w:sz w:val="20"/>
          <w:szCs w:val="20"/>
        </w:rPr>
        <w:t xml:space="preserve"> </w:t>
      </w:r>
      <w:r w:rsidRPr="003F50D7">
        <w:rPr>
          <w:sz w:val="20"/>
          <w:szCs w:val="20"/>
        </w:rPr>
        <w:t>and efforts should be made</w:t>
      </w:r>
      <w:r w:rsidRPr="003F50D7">
        <w:rPr>
          <w:rFonts w:hint="eastAsia"/>
          <w:sz w:val="20"/>
          <w:szCs w:val="20"/>
        </w:rPr>
        <w:t xml:space="preserve"> to find out the possible ways to increase the chloride threshold value related to corrosion of steel bars in concrete. The results </w:t>
      </w:r>
      <w:r w:rsidRPr="003F50D7">
        <w:rPr>
          <w:sz w:val="20"/>
          <w:szCs w:val="20"/>
        </w:rPr>
        <w:t>of such studies would directly benefit the construction industry……………….</w:t>
      </w:r>
      <w:r w:rsidRPr="003F50D7">
        <w:rPr>
          <w:rFonts w:hint="eastAsia"/>
          <w:sz w:val="20"/>
          <w:szCs w:val="20"/>
        </w:rPr>
        <w:t xml:space="preserve"> </w:t>
      </w:r>
    </w:p>
    <w:p w14:paraId="3A28D441" w14:textId="77777777" w:rsidR="003F50D7" w:rsidRPr="003F50D7" w:rsidRDefault="003F50D7" w:rsidP="003F50D7">
      <w:pPr>
        <w:pStyle w:val="HEADING10"/>
        <w:spacing w:line="240" w:lineRule="auto"/>
        <w:rPr>
          <w:sz w:val="20"/>
          <w:szCs w:val="20"/>
        </w:rPr>
      </w:pPr>
      <w:r w:rsidRPr="003F50D7">
        <w:rPr>
          <w:rFonts w:hint="eastAsia"/>
          <w:sz w:val="20"/>
          <w:szCs w:val="20"/>
        </w:rPr>
        <w:t>CONCLUSIONS</w:t>
      </w:r>
      <w:r w:rsidRPr="003F50D7">
        <w:rPr>
          <w:sz w:val="20"/>
          <w:szCs w:val="20"/>
        </w:rPr>
        <w:t xml:space="preserve"> </w:t>
      </w:r>
      <w:r w:rsidRPr="003F50D7">
        <w:rPr>
          <w:sz w:val="20"/>
          <w:szCs w:val="20"/>
          <w:highlight w:val="yellow"/>
        </w:rPr>
        <w:t>(or Summary and conclusions)</w:t>
      </w:r>
    </w:p>
    <w:p w14:paraId="4B63A74A" w14:textId="77777777" w:rsidR="003F50D7" w:rsidRDefault="003F50D7" w:rsidP="003F50D7">
      <w:pPr>
        <w:pStyle w:val="BODYNOINDENT"/>
        <w:spacing w:line="240" w:lineRule="auto"/>
        <w:rPr>
          <w:sz w:val="20"/>
          <w:szCs w:val="20"/>
        </w:rPr>
      </w:pPr>
    </w:p>
    <w:p w14:paraId="4915AE61" w14:textId="77777777" w:rsidR="003F50D7" w:rsidRPr="003F50D7" w:rsidRDefault="003F50D7" w:rsidP="003F50D7">
      <w:pPr>
        <w:pStyle w:val="BODYNOINDENT"/>
        <w:spacing w:line="240" w:lineRule="auto"/>
        <w:rPr>
          <w:sz w:val="20"/>
          <w:szCs w:val="20"/>
        </w:rPr>
      </w:pPr>
      <w:r w:rsidRPr="003F50D7">
        <w:rPr>
          <w:rFonts w:hint="eastAsia"/>
          <w:sz w:val="20"/>
          <w:szCs w:val="20"/>
        </w:rPr>
        <w:t xml:space="preserve">Based on the results of this experimental investigation under tidal environment, the following </w:t>
      </w:r>
      <w:r w:rsidRPr="003F50D7">
        <w:rPr>
          <w:sz w:val="20"/>
          <w:szCs w:val="20"/>
        </w:rPr>
        <w:t>conclusions</w:t>
      </w:r>
      <w:r w:rsidRPr="003F50D7">
        <w:rPr>
          <w:rFonts w:hint="eastAsia"/>
          <w:sz w:val="20"/>
          <w:szCs w:val="20"/>
        </w:rPr>
        <w:t xml:space="preserve"> are drawn:</w:t>
      </w:r>
    </w:p>
    <w:p w14:paraId="5FCF99AD" w14:textId="77777777" w:rsidR="003F50D7" w:rsidRPr="003F50D7" w:rsidRDefault="003F50D7" w:rsidP="003F50D7">
      <w:pPr>
        <w:pStyle w:val="NUMLIST1"/>
        <w:spacing w:line="240" w:lineRule="auto"/>
        <w:rPr>
          <w:sz w:val="20"/>
          <w:szCs w:val="20"/>
        </w:rPr>
      </w:pPr>
      <w:r w:rsidRPr="003F50D7">
        <w:rPr>
          <w:rFonts w:hint="eastAsia"/>
          <w:sz w:val="20"/>
          <w:szCs w:val="20"/>
        </w:rPr>
        <w:t xml:space="preserve">Naphthalene group of high-range water-reducing and air-entraining chemical admixture shows the best performance against the strength development and chloride ion ingress prevention in concrete; </w:t>
      </w:r>
      <w:r w:rsidRPr="003F50D7">
        <w:rPr>
          <w:sz w:val="20"/>
          <w:szCs w:val="20"/>
        </w:rPr>
        <w:t>and</w:t>
      </w:r>
    </w:p>
    <w:p w14:paraId="3A4764E7" w14:textId="77777777" w:rsidR="003F50D7" w:rsidRPr="003F50D7" w:rsidRDefault="003F50D7" w:rsidP="003F50D7">
      <w:pPr>
        <w:pStyle w:val="NUMLIST1"/>
        <w:spacing w:line="240" w:lineRule="auto"/>
        <w:rPr>
          <w:sz w:val="20"/>
          <w:szCs w:val="20"/>
        </w:rPr>
      </w:pPr>
      <w:proofErr w:type="spellStart"/>
      <w:r w:rsidRPr="003F50D7">
        <w:rPr>
          <w:rFonts w:hint="eastAsia"/>
          <w:sz w:val="20"/>
          <w:szCs w:val="20"/>
        </w:rPr>
        <w:lastRenderedPageBreak/>
        <w:t>Polycarboxyl</w:t>
      </w:r>
      <w:proofErr w:type="spellEnd"/>
      <w:r w:rsidRPr="003F50D7">
        <w:rPr>
          <w:rFonts w:hint="eastAsia"/>
          <w:sz w:val="20"/>
          <w:szCs w:val="20"/>
        </w:rPr>
        <w:t xml:space="preserve"> group of chemical admixture shows the least </w:t>
      </w:r>
      <w:r w:rsidRPr="003F50D7">
        <w:rPr>
          <w:sz w:val="20"/>
          <w:szCs w:val="20"/>
        </w:rPr>
        <w:t>performance</w:t>
      </w:r>
      <w:r w:rsidRPr="003F50D7">
        <w:rPr>
          <w:rFonts w:hint="eastAsia"/>
          <w:sz w:val="20"/>
          <w:szCs w:val="20"/>
        </w:rPr>
        <w:t xml:space="preserve"> among the chemical admixtures investigated here against long-term strength development as well as chloride ingress prevention in concrete</w:t>
      </w:r>
      <w:r w:rsidRPr="003F50D7">
        <w:rPr>
          <w:sz w:val="20"/>
          <w:szCs w:val="20"/>
        </w:rPr>
        <w:t>…………………</w:t>
      </w:r>
    </w:p>
    <w:p w14:paraId="5FF6D0B3" w14:textId="77777777" w:rsidR="003F50D7" w:rsidRPr="003F50D7" w:rsidRDefault="003F50D7" w:rsidP="003F50D7">
      <w:pPr>
        <w:pStyle w:val="HEADING10"/>
        <w:spacing w:line="240" w:lineRule="auto"/>
        <w:rPr>
          <w:sz w:val="20"/>
          <w:szCs w:val="20"/>
        </w:rPr>
      </w:pPr>
      <w:r w:rsidRPr="003F50D7">
        <w:rPr>
          <w:sz w:val="20"/>
          <w:szCs w:val="20"/>
        </w:rPr>
        <w:t xml:space="preserve">ACKNOWLEDGMENTS </w:t>
      </w:r>
      <w:r w:rsidRPr="003F50D7">
        <w:rPr>
          <w:sz w:val="20"/>
          <w:szCs w:val="20"/>
          <w:highlight w:val="yellow"/>
        </w:rPr>
        <w:t>(If applicable)</w:t>
      </w:r>
    </w:p>
    <w:p w14:paraId="1AB15A9E" w14:textId="77777777" w:rsidR="003F50D7" w:rsidRDefault="003F50D7" w:rsidP="003F50D7">
      <w:pPr>
        <w:pStyle w:val="BODYNOINDENT"/>
        <w:spacing w:line="240" w:lineRule="auto"/>
        <w:rPr>
          <w:sz w:val="20"/>
          <w:szCs w:val="20"/>
        </w:rPr>
      </w:pPr>
    </w:p>
    <w:p w14:paraId="20EE0EFB" w14:textId="77777777" w:rsidR="003F50D7" w:rsidRPr="003F50D7" w:rsidRDefault="003F50D7" w:rsidP="003F50D7">
      <w:pPr>
        <w:pStyle w:val="BODYNOINDENT"/>
        <w:spacing w:line="240" w:lineRule="auto"/>
        <w:rPr>
          <w:sz w:val="20"/>
          <w:szCs w:val="20"/>
        </w:rPr>
      </w:pPr>
      <w:r w:rsidRPr="003F50D7">
        <w:rPr>
          <w:sz w:val="20"/>
          <w:szCs w:val="20"/>
        </w:rPr>
        <w:t>The authors wish to express their gratitude and sincere appreciation to………</w:t>
      </w:r>
      <w:r w:rsidRPr="003F50D7">
        <w:rPr>
          <w:rFonts w:hint="eastAsia"/>
          <w:i/>
          <w:iCs/>
          <w:sz w:val="20"/>
          <w:szCs w:val="20"/>
        </w:rPr>
        <w:t xml:space="preserve"> </w:t>
      </w:r>
      <w:r w:rsidRPr="003F50D7">
        <w:rPr>
          <w:sz w:val="20"/>
          <w:szCs w:val="20"/>
        </w:rPr>
        <w:t xml:space="preserve">for </w:t>
      </w:r>
      <w:r w:rsidRPr="003F50D7">
        <w:rPr>
          <w:rFonts w:hint="eastAsia"/>
          <w:sz w:val="20"/>
          <w:szCs w:val="20"/>
        </w:rPr>
        <w:t xml:space="preserve">financing this research work and also several on-going research </w:t>
      </w:r>
      <w:r w:rsidRPr="003F50D7">
        <w:rPr>
          <w:sz w:val="20"/>
          <w:szCs w:val="20"/>
        </w:rPr>
        <w:t>projects</w:t>
      </w:r>
      <w:r w:rsidRPr="003F50D7">
        <w:rPr>
          <w:rFonts w:hint="eastAsia"/>
          <w:sz w:val="20"/>
          <w:szCs w:val="20"/>
        </w:rPr>
        <w:t xml:space="preserve"> related to the durability of concrete structures</w:t>
      </w:r>
      <w:r w:rsidRPr="003F50D7">
        <w:rPr>
          <w:sz w:val="20"/>
          <w:szCs w:val="20"/>
        </w:rPr>
        <w:t>………………</w:t>
      </w:r>
      <w:r w:rsidRPr="003F50D7">
        <w:rPr>
          <w:rFonts w:hint="eastAsia"/>
          <w:sz w:val="20"/>
          <w:szCs w:val="20"/>
        </w:rPr>
        <w:t xml:space="preserve"> </w:t>
      </w:r>
    </w:p>
    <w:p w14:paraId="67C173C5" w14:textId="77777777" w:rsidR="003F50D7" w:rsidRPr="003F50D7" w:rsidRDefault="003F50D7" w:rsidP="003F50D7">
      <w:pPr>
        <w:pStyle w:val="NOTATIONHEADING"/>
        <w:spacing w:line="240" w:lineRule="auto"/>
        <w:rPr>
          <w:sz w:val="20"/>
          <w:szCs w:val="20"/>
        </w:rPr>
      </w:pPr>
      <w:r w:rsidRPr="003F50D7">
        <w:rPr>
          <w:sz w:val="20"/>
          <w:szCs w:val="20"/>
        </w:rPr>
        <w:t xml:space="preserve">NOTATION: </w:t>
      </w:r>
      <w:r w:rsidRPr="003F50D7">
        <w:rPr>
          <w:sz w:val="20"/>
          <w:szCs w:val="20"/>
          <w:highlight w:val="yellow"/>
        </w:rPr>
        <w:t>(</w:t>
      </w:r>
      <w:r>
        <w:rPr>
          <w:sz w:val="20"/>
          <w:szCs w:val="20"/>
          <w:highlight w:val="yellow"/>
        </w:rPr>
        <w:t>IF APPLICABLE</w:t>
      </w:r>
      <w:r w:rsidRPr="003F50D7">
        <w:rPr>
          <w:sz w:val="20"/>
          <w:szCs w:val="20"/>
          <w:highlight w:val="yellow"/>
        </w:rPr>
        <w:t>, especially if the list of symbols is long)</w:t>
      </w:r>
    </w:p>
    <w:p w14:paraId="03833C70" w14:textId="77777777" w:rsidR="003F50D7" w:rsidRDefault="003F50D7" w:rsidP="003F50D7">
      <w:pPr>
        <w:pStyle w:val="NOTATION"/>
        <w:spacing w:line="240" w:lineRule="auto"/>
        <w:rPr>
          <w:noProof/>
          <w:sz w:val="20"/>
          <w:szCs w:val="20"/>
        </w:rPr>
      </w:pPr>
    </w:p>
    <w:p w14:paraId="5CB24F6E" w14:textId="77777777" w:rsidR="003F50D7" w:rsidRPr="003F50D7" w:rsidRDefault="003F50D7" w:rsidP="003F50D7">
      <w:pPr>
        <w:pStyle w:val="NOTATION"/>
        <w:spacing w:line="240" w:lineRule="auto"/>
        <w:rPr>
          <w:noProof/>
          <w:sz w:val="20"/>
          <w:szCs w:val="20"/>
        </w:rPr>
      </w:pPr>
      <w:r>
        <w:rPr>
          <w:noProof/>
          <w:sz w:val="20"/>
          <w:szCs w:val="20"/>
        </w:rPr>
        <w:t xml:space="preserve">α </w:t>
      </w:r>
      <w:r w:rsidRPr="003F50D7">
        <w:rPr>
          <w:noProof/>
          <w:sz w:val="20"/>
          <w:szCs w:val="20"/>
        </w:rPr>
        <w:t>= radius of slab</w:t>
      </w:r>
    </w:p>
    <w:p w14:paraId="3F9E1863" w14:textId="77777777" w:rsidR="003F50D7" w:rsidRPr="003F50D7" w:rsidRDefault="003F50D7" w:rsidP="003F50D7">
      <w:pPr>
        <w:pStyle w:val="NOTATION"/>
        <w:spacing w:line="240" w:lineRule="auto"/>
        <w:rPr>
          <w:noProof/>
          <w:sz w:val="20"/>
          <w:szCs w:val="20"/>
        </w:rPr>
      </w:pPr>
      <w:r>
        <w:rPr>
          <w:noProof/>
          <w:sz w:val="20"/>
          <w:szCs w:val="20"/>
        </w:rPr>
        <w:t xml:space="preserve">β </w:t>
      </w:r>
      <w:r w:rsidRPr="003F50D7">
        <w:rPr>
          <w:noProof/>
          <w:sz w:val="20"/>
          <w:szCs w:val="20"/>
        </w:rPr>
        <w:t>= diameter/side length of loaded area</w:t>
      </w:r>
    </w:p>
    <w:p w14:paraId="2F1A573F" w14:textId="77777777" w:rsidR="00AF78A4" w:rsidRDefault="003F50D7" w:rsidP="00AF78A4">
      <w:pPr>
        <w:pStyle w:val="NOTATION"/>
        <w:spacing w:line="240" w:lineRule="auto"/>
        <w:rPr>
          <w:sz w:val="20"/>
          <w:szCs w:val="20"/>
        </w:rPr>
      </w:pPr>
      <w:r>
        <w:rPr>
          <w:noProof/>
          <w:sz w:val="20"/>
          <w:szCs w:val="20"/>
        </w:rPr>
        <w:t xml:space="preserve">γ </w:t>
      </w:r>
      <w:r w:rsidRPr="003F50D7">
        <w:rPr>
          <w:noProof/>
          <w:sz w:val="20"/>
          <w:szCs w:val="20"/>
        </w:rPr>
        <w:t>= parameter related to ratio of compressive to tensile strengths of concrete</w:t>
      </w:r>
    </w:p>
    <w:p w14:paraId="2091D817" w14:textId="77777777" w:rsidR="003F50D7" w:rsidRPr="003F50D7" w:rsidRDefault="003F50D7" w:rsidP="003F50D7">
      <w:pPr>
        <w:pStyle w:val="REFERENCESHEADING"/>
        <w:spacing w:line="240" w:lineRule="auto"/>
        <w:rPr>
          <w:sz w:val="20"/>
          <w:szCs w:val="20"/>
        </w:rPr>
      </w:pPr>
      <w:r w:rsidRPr="003F50D7">
        <w:rPr>
          <w:rFonts w:hint="eastAsia"/>
          <w:sz w:val="20"/>
          <w:szCs w:val="20"/>
        </w:rPr>
        <w:t>REFERENCES</w:t>
      </w:r>
      <w:r w:rsidRPr="003F50D7">
        <w:rPr>
          <w:sz w:val="20"/>
          <w:szCs w:val="20"/>
        </w:rPr>
        <w:t xml:space="preserve"> </w:t>
      </w:r>
      <w:r w:rsidRPr="003F50D7">
        <w:rPr>
          <w:sz w:val="20"/>
          <w:szCs w:val="20"/>
          <w:highlight w:val="yellow"/>
        </w:rPr>
        <w:t>(Numbered)</w:t>
      </w:r>
    </w:p>
    <w:p w14:paraId="161BB9C8" w14:textId="77777777" w:rsidR="003F50D7" w:rsidRPr="003F50D7" w:rsidRDefault="00AF78A4" w:rsidP="003F50D7">
      <w:pPr>
        <w:pStyle w:val="REFERENCES"/>
        <w:spacing w:line="240" w:lineRule="auto"/>
        <w:rPr>
          <w:sz w:val="20"/>
          <w:szCs w:val="20"/>
        </w:rPr>
      </w:pPr>
      <w:r>
        <w:rPr>
          <w:sz w:val="20"/>
          <w:szCs w:val="20"/>
        </w:rPr>
        <w:t>[</w:t>
      </w:r>
      <w:r w:rsidR="003F50D7" w:rsidRPr="003F50D7">
        <w:rPr>
          <w:sz w:val="20"/>
          <w:szCs w:val="20"/>
        </w:rPr>
        <w:t>1</w:t>
      </w:r>
      <w:r>
        <w:rPr>
          <w:sz w:val="20"/>
          <w:szCs w:val="20"/>
        </w:rPr>
        <w:t>]</w:t>
      </w:r>
      <w:r w:rsidR="003F50D7" w:rsidRPr="003F50D7">
        <w:rPr>
          <w:sz w:val="20"/>
          <w:szCs w:val="20"/>
        </w:rPr>
        <w:t xml:space="preserve"> </w:t>
      </w:r>
      <w:proofErr w:type="spellStart"/>
      <w:r w:rsidR="003F50D7" w:rsidRPr="003F50D7">
        <w:rPr>
          <w:rFonts w:hint="eastAsia"/>
          <w:sz w:val="20"/>
          <w:szCs w:val="20"/>
        </w:rPr>
        <w:t>Nagataki</w:t>
      </w:r>
      <w:proofErr w:type="spellEnd"/>
      <w:r w:rsidR="003F50D7" w:rsidRPr="003F50D7">
        <w:rPr>
          <w:rFonts w:hint="eastAsia"/>
          <w:sz w:val="20"/>
          <w:szCs w:val="20"/>
        </w:rPr>
        <w:t xml:space="preserve">, S., </w:t>
      </w:r>
      <w:r w:rsidR="003F50D7" w:rsidRPr="003F50D7">
        <w:rPr>
          <w:sz w:val="20"/>
          <w:szCs w:val="20"/>
        </w:rPr>
        <w:t>“</w:t>
      </w:r>
      <w:r w:rsidR="003F50D7" w:rsidRPr="003F50D7">
        <w:rPr>
          <w:rFonts w:hint="eastAsia"/>
          <w:sz w:val="20"/>
          <w:szCs w:val="20"/>
        </w:rPr>
        <w:t xml:space="preserve">State of the Art Report on Air-Entraining High Range Water-Reducing Admixture, </w:t>
      </w:r>
      <w:r w:rsidR="003F50D7" w:rsidRPr="003F50D7">
        <w:rPr>
          <w:rFonts w:hint="eastAsia"/>
          <w:i/>
          <w:iCs/>
          <w:sz w:val="20"/>
          <w:szCs w:val="20"/>
        </w:rPr>
        <w:t>Concrete Journal of JCI</w:t>
      </w:r>
      <w:r w:rsidR="003F50D7" w:rsidRPr="003F50D7">
        <w:rPr>
          <w:rFonts w:hint="eastAsia"/>
          <w:sz w:val="20"/>
          <w:szCs w:val="20"/>
        </w:rPr>
        <w:t xml:space="preserve">, </w:t>
      </w:r>
      <w:r w:rsidR="003F50D7" w:rsidRPr="003F50D7">
        <w:rPr>
          <w:sz w:val="20"/>
          <w:szCs w:val="20"/>
        </w:rPr>
        <w:t xml:space="preserve">Japan, </w:t>
      </w:r>
      <w:r w:rsidR="003F50D7" w:rsidRPr="003F50D7">
        <w:rPr>
          <w:rFonts w:hint="eastAsia"/>
          <w:sz w:val="20"/>
          <w:szCs w:val="20"/>
        </w:rPr>
        <w:t>V. 28, No. 6, 1990, pp.</w:t>
      </w:r>
      <w:r w:rsidR="003F50D7" w:rsidRPr="003F50D7">
        <w:rPr>
          <w:sz w:val="20"/>
          <w:szCs w:val="20"/>
        </w:rPr>
        <w:t xml:space="preserve"> 5-15.</w:t>
      </w:r>
    </w:p>
    <w:p w14:paraId="40B2F5D0" w14:textId="77777777" w:rsidR="003F50D7" w:rsidRPr="003F50D7" w:rsidRDefault="00AF78A4" w:rsidP="003F50D7">
      <w:pPr>
        <w:pStyle w:val="REFERENCES"/>
        <w:spacing w:line="240" w:lineRule="auto"/>
        <w:rPr>
          <w:sz w:val="20"/>
          <w:szCs w:val="20"/>
        </w:rPr>
      </w:pPr>
      <w:r>
        <w:rPr>
          <w:sz w:val="20"/>
          <w:szCs w:val="20"/>
        </w:rPr>
        <w:t>[</w:t>
      </w:r>
      <w:r w:rsidR="003F50D7" w:rsidRPr="003F50D7">
        <w:rPr>
          <w:sz w:val="20"/>
          <w:szCs w:val="20"/>
        </w:rPr>
        <w:t>2</w:t>
      </w:r>
      <w:r>
        <w:rPr>
          <w:sz w:val="20"/>
          <w:szCs w:val="20"/>
        </w:rPr>
        <w:t>]</w:t>
      </w:r>
      <w:r w:rsidR="003F50D7" w:rsidRPr="003F50D7">
        <w:rPr>
          <w:sz w:val="20"/>
          <w:szCs w:val="20"/>
        </w:rPr>
        <w:t xml:space="preserve"> </w:t>
      </w:r>
      <w:r w:rsidR="003F50D7" w:rsidRPr="003F50D7">
        <w:rPr>
          <w:rFonts w:hint="eastAsia"/>
          <w:sz w:val="20"/>
          <w:szCs w:val="20"/>
        </w:rPr>
        <w:t xml:space="preserve">Hattori, K., </w:t>
      </w:r>
      <w:r w:rsidR="003F50D7" w:rsidRPr="003F50D7">
        <w:rPr>
          <w:sz w:val="20"/>
          <w:szCs w:val="20"/>
        </w:rPr>
        <w:t>“</w:t>
      </w:r>
      <w:r w:rsidR="003F50D7" w:rsidRPr="003F50D7">
        <w:rPr>
          <w:rFonts w:hint="eastAsia"/>
          <w:sz w:val="20"/>
          <w:szCs w:val="20"/>
        </w:rPr>
        <w:t>Experiences with Mighty Superplasticizer in Japan,</w:t>
      </w:r>
      <w:r w:rsidR="003F50D7" w:rsidRPr="003F50D7">
        <w:rPr>
          <w:sz w:val="20"/>
          <w:szCs w:val="20"/>
        </w:rPr>
        <w:t>”</w:t>
      </w:r>
      <w:r w:rsidR="003F50D7" w:rsidRPr="003F50D7">
        <w:rPr>
          <w:rFonts w:hint="eastAsia"/>
          <w:sz w:val="20"/>
          <w:szCs w:val="20"/>
        </w:rPr>
        <w:t xml:space="preserve"> </w:t>
      </w:r>
      <w:r w:rsidR="003F50D7" w:rsidRPr="003F50D7">
        <w:rPr>
          <w:i/>
          <w:iCs/>
          <w:sz w:val="20"/>
          <w:szCs w:val="20"/>
        </w:rPr>
        <w:t>Superplasticizers in Concrete</w:t>
      </w:r>
      <w:r w:rsidR="003F50D7" w:rsidRPr="003F50D7">
        <w:rPr>
          <w:sz w:val="20"/>
          <w:szCs w:val="20"/>
        </w:rPr>
        <w:t xml:space="preserve">, </w:t>
      </w:r>
      <w:r w:rsidR="003F50D7" w:rsidRPr="003F50D7">
        <w:rPr>
          <w:rFonts w:hint="eastAsia"/>
          <w:sz w:val="20"/>
          <w:szCs w:val="20"/>
        </w:rPr>
        <w:t xml:space="preserve">SP-62, </w:t>
      </w:r>
      <w:r w:rsidR="003F50D7" w:rsidRPr="003F50D7">
        <w:rPr>
          <w:sz w:val="20"/>
          <w:szCs w:val="20"/>
        </w:rPr>
        <w:t xml:space="preserve">V. M. Malhotra, ed., American Concrete Institute, Farmington Hills, Mich., </w:t>
      </w:r>
      <w:r w:rsidR="003F50D7" w:rsidRPr="003F50D7">
        <w:rPr>
          <w:rFonts w:hint="eastAsia"/>
          <w:sz w:val="20"/>
          <w:szCs w:val="20"/>
        </w:rPr>
        <w:t>1979, pp.</w:t>
      </w:r>
      <w:r w:rsidR="003F50D7" w:rsidRPr="003F50D7">
        <w:rPr>
          <w:sz w:val="20"/>
          <w:szCs w:val="20"/>
        </w:rPr>
        <w:t xml:space="preserve"> </w:t>
      </w:r>
      <w:r w:rsidR="003F50D7" w:rsidRPr="003F50D7">
        <w:rPr>
          <w:rFonts w:hint="eastAsia"/>
          <w:sz w:val="20"/>
          <w:szCs w:val="20"/>
        </w:rPr>
        <w:t>37-66</w:t>
      </w:r>
      <w:r w:rsidR="003F50D7" w:rsidRPr="003F50D7">
        <w:rPr>
          <w:sz w:val="20"/>
          <w:szCs w:val="20"/>
        </w:rPr>
        <w:t>.</w:t>
      </w:r>
    </w:p>
    <w:p w14:paraId="2C8D0355" w14:textId="77777777" w:rsidR="003F50D7" w:rsidRPr="003F50D7" w:rsidRDefault="00AF78A4" w:rsidP="003F50D7">
      <w:pPr>
        <w:pStyle w:val="REFERENCES"/>
        <w:spacing w:line="240" w:lineRule="auto"/>
        <w:rPr>
          <w:sz w:val="20"/>
          <w:szCs w:val="20"/>
        </w:rPr>
      </w:pPr>
      <w:r>
        <w:rPr>
          <w:sz w:val="20"/>
          <w:szCs w:val="20"/>
        </w:rPr>
        <w:t>[</w:t>
      </w:r>
      <w:r w:rsidR="003F50D7" w:rsidRPr="003F50D7">
        <w:rPr>
          <w:sz w:val="20"/>
          <w:szCs w:val="20"/>
        </w:rPr>
        <w:t>3</w:t>
      </w:r>
      <w:r>
        <w:rPr>
          <w:sz w:val="20"/>
          <w:szCs w:val="20"/>
        </w:rPr>
        <w:t>]</w:t>
      </w:r>
      <w:r w:rsidR="003F50D7" w:rsidRPr="003F50D7">
        <w:rPr>
          <w:sz w:val="20"/>
          <w:szCs w:val="20"/>
        </w:rPr>
        <w:t xml:space="preserve"> Lin, T. Y., and Burns, N. H., “Design of Prestressed Concrete Structures,” 3rd Edition, John Wiley &amp; Sons Publisher, New York, 1981, 368 pp.</w:t>
      </w:r>
    </w:p>
    <w:p w14:paraId="38C59465" w14:textId="77777777" w:rsidR="003F50D7" w:rsidRPr="003F50D7" w:rsidRDefault="00AF78A4" w:rsidP="00AF78A4">
      <w:pPr>
        <w:pStyle w:val="REFERENCES"/>
        <w:spacing w:line="240" w:lineRule="auto"/>
        <w:rPr>
          <w:sz w:val="20"/>
          <w:szCs w:val="20"/>
        </w:rPr>
      </w:pPr>
      <w:r>
        <w:rPr>
          <w:sz w:val="20"/>
          <w:szCs w:val="20"/>
        </w:rPr>
        <w:t>[</w:t>
      </w:r>
      <w:r w:rsidR="003F50D7" w:rsidRPr="003F50D7">
        <w:rPr>
          <w:sz w:val="20"/>
          <w:szCs w:val="20"/>
        </w:rPr>
        <w:t>4</w:t>
      </w:r>
      <w:r>
        <w:rPr>
          <w:sz w:val="20"/>
          <w:szCs w:val="20"/>
        </w:rPr>
        <w:t>]</w:t>
      </w:r>
      <w:r w:rsidR="003F50D7" w:rsidRPr="003F50D7">
        <w:rPr>
          <w:sz w:val="20"/>
          <w:szCs w:val="20"/>
        </w:rPr>
        <w:t xml:space="preserve"> Naaman, A. E., and </w:t>
      </w:r>
      <w:proofErr w:type="spellStart"/>
      <w:r w:rsidR="003F50D7" w:rsidRPr="003F50D7">
        <w:rPr>
          <w:sz w:val="20"/>
          <w:szCs w:val="20"/>
        </w:rPr>
        <w:t>Alkhairi</w:t>
      </w:r>
      <w:proofErr w:type="spellEnd"/>
      <w:r w:rsidR="003F50D7" w:rsidRPr="003F50D7">
        <w:rPr>
          <w:sz w:val="20"/>
          <w:szCs w:val="20"/>
        </w:rPr>
        <w:t xml:space="preserve">, F. M., “Stress at Ultimate in Unbonded Post-tensioning Tendons: Part 2- Proposed Methodology,” </w:t>
      </w:r>
      <w:r w:rsidR="003F50D7" w:rsidRPr="003F50D7">
        <w:rPr>
          <w:i/>
          <w:iCs/>
          <w:sz w:val="20"/>
          <w:szCs w:val="20"/>
        </w:rPr>
        <w:t>ACI Structural Journal</w:t>
      </w:r>
      <w:r w:rsidR="003F50D7" w:rsidRPr="003F50D7">
        <w:rPr>
          <w:sz w:val="20"/>
          <w:szCs w:val="20"/>
        </w:rPr>
        <w:t>, V. 88, No. 6, Nov.-Dec. 1991, pp. 683-692.</w:t>
      </w:r>
    </w:p>
    <w:p w14:paraId="0EDAA93B" w14:textId="77777777" w:rsidR="003F50D7" w:rsidRPr="003F50D7" w:rsidRDefault="003F50D7" w:rsidP="003F50D7">
      <w:pPr>
        <w:pStyle w:val="HEADING10"/>
        <w:spacing w:line="240" w:lineRule="auto"/>
        <w:rPr>
          <w:sz w:val="20"/>
          <w:szCs w:val="20"/>
        </w:rPr>
      </w:pPr>
      <w:r w:rsidRPr="003F50D7">
        <w:rPr>
          <w:sz w:val="20"/>
          <w:szCs w:val="20"/>
        </w:rPr>
        <w:t xml:space="preserve">Appendix </w:t>
      </w:r>
      <w:r w:rsidR="00AF78A4" w:rsidRPr="00AF78A4">
        <w:rPr>
          <w:sz w:val="20"/>
          <w:szCs w:val="20"/>
          <w:highlight w:val="yellow"/>
        </w:rPr>
        <w:t>(IF APPLICABLE)</w:t>
      </w:r>
    </w:p>
    <w:p w14:paraId="759AFB4C" w14:textId="77777777" w:rsidR="003F50D7" w:rsidRPr="003F50D7" w:rsidRDefault="003F50D7" w:rsidP="00AF78A4">
      <w:pPr>
        <w:pStyle w:val="BODYCONTINUED"/>
        <w:spacing w:line="240" w:lineRule="auto"/>
        <w:rPr>
          <w:sz w:val="20"/>
          <w:szCs w:val="20"/>
          <w:vertAlign w:val="superscript"/>
        </w:rPr>
      </w:pPr>
      <w:r w:rsidRPr="003F50D7">
        <w:rPr>
          <w:sz w:val="20"/>
          <w:szCs w:val="20"/>
        </w:rPr>
        <w:t xml:space="preserve">The following </w:t>
      </w:r>
      <w:r w:rsidR="00AF78A4">
        <w:rPr>
          <w:sz w:val="20"/>
          <w:szCs w:val="20"/>
        </w:rPr>
        <w:t>paragraph reports ….</w:t>
      </w:r>
    </w:p>
    <w:p w14:paraId="55A77BA8" w14:textId="77777777" w:rsidR="00AF78A4" w:rsidRDefault="00AF78A4" w:rsidP="004C21EE">
      <w:pPr>
        <w:pStyle w:val="BodyText"/>
        <w:ind w:right="19"/>
        <w:jc w:val="both"/>
      </w:pPr>
    </w:p>
    <w:p w14:paraId="153FCF33" w14:textId="77777777" w:rsidR="00AF78A4" w:rsidRPr="00AF78A4" w:rsidRDefault="00AF78A4" w:rsidP="00AF78A4">
      <w:pPr>
        <w:pStyle w:val="HEADING10"/>
        <w:spacing w:before="0" w:line="240" w:lineRule="auto"/>
        <w:rPr>
          <w:sz w:val="20"/>
          <w:szCs w:val="20"/>
        </w:rPr>
      </w:pPr>
      <w:r w:rsidRPr="00AF78A4">
        <w:rPr>
          <w:bCs/>
          <w:sz w:val="20"/>
          <w:szCs w:val="20"/>
        </w:rPr>
        <w:t>Biography</w:t>
      </w:r>
    </w:p>
    <w:p w14:paraId="4BFC91F9" w14:textId="77777777" w:rsidR="00AF78A4" w:rsidRDefault="00AF78A4" w:rsidP="004C21EE">
      <w:pPr>
        <w:pStyle w:val="BodyText"/>
        <w:ind w:right="19"/>
        <w:jc w:val="both"/>
      </w:pPr>
    </w:p>
    <w:p w14:paraId="3378CB02" w14:textId="77777777" w:rsidR="004C21EE" w:rsidRPr="00AF78A4" w:rsidRDefault="00AF78A4" w:rsidP="004C21EE">
      <w:pPr>
        <w:rPr>
          <w:sz w:val="20"/>
          <w:szCs w:val="20"/>
        </w:rPr>
      </w:pPr>
      <w:r w:rsidRPr="00AF78A4">
        <w:rPr>
          <w:sz w:val="20"/>
          <w:szCs w:val="20"/>
        </w:rPr>
        <w:t xml:space="preserve">ACI member </w:t>
      </w:r>
      <w:r w:rsidRPr="00AF78A4">
        <w:rPr>
          <w:b/>
          <w:bCs/>
          <w:sz w:val="20"/>
          <w:szCs w:val="20"/>
        </w:rPr>
        <w:t xml:space="preserve">Author 1 </w:t>
      </w:r>
      <w:r w:rsidRPr="00AF78A4">
        <w:rPr>
          <w:sz w:val="20"/>
          <w:szCs w:val="20"/>
        </w:rPr>
        <w:t xml:space="preserve">…. </w:t>
      </w:r>
      <w:r w:rsidRPr="00AF78A4">
        <w:rPr>
          <w:sz w:val="20"/>
          <w:szCs w:val="20"/>
          <w:highlight w:val="yellow"/>
        </w:rPr>
        <w:t>(MAX 75 words for each author)</w:t>
      </w:r>
    </w:p>
    <w:sectPr w:rsidR="004C21EE" w:rsidRPr="00AF78A4" w:rsidSect="004C21EE">
      <w:footerReference w:type="even" r:id="rId12"/>
      <w:footerReference w:type="default" r:id="rId13"/>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C2FD3" w14:textId="77777777" w:rsidR="00870D3F" w:rsidRDefault="00870D3F" w:rsidP="004C21EE">
      <w:r>
        <w:separator/>
      </w:r>
    </w:p>
  </w:endnote>
  <w:endnote w:type="continuationSeparator" w:id="0">
    <w:p w14:paraId="37608A9D" w14:textId="77777777" w:rsidR="00870D3F" w:rsidRDefault="00870D3F" w:rsidP="004C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ingFang TC">
    <w:panose1 w:val="020B0400000000000000"/>
    <w:charset w:val="88"/>
    <w:family w:val="swiss"/>
    <w:pitch w:val="variable"/>
    <w:sig w:usb0="A00002FF" w:usb1="7ACFFDFB" w:usb2="00000017"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00664460"/>
      <w:docPartObj>
        <w:docPartGallery w:val="Page Numbers (Bottom of Page)"/>
        <w:docPartUnique/>
      </w:docPartObj>
    </w:sdtPr>
    <w:sdtContent>
      <w:p w14:paraId="25EB27DF" w14:textId="77777777" w:rsidR="004C21EE" w:rsidRDefault="004C21EE" w:rsidP="00A809F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655759" w14:textId="77777777" w:rsidR="004C21EE" w:rsidRDefault="004C2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32320143"/>
      <w:docPartObj>
        <w:docPartGallery w:val="Page Numbers (Bottom of Page)"/>
        <w:docPartUnique/>
      </w:docPartObj>
    </w:sdtPr>
    <w:sdtContent>
      <w:p w14:paraId="33C20ECB" w14:textId="77777777" w:rsidR="004C21EE" w:rsidRDefault="004C21EE" w:rsidP="00A809F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BE488E" w14:textId="77777777" w:rsidR="004C21EE" w:rsidRDefault="004C2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35B57" w14:textId="77777777" w:rsidR="00870D3F" w:rsidRDefault="00870D3F" w:rsidP="004C21EE">
      <w:r>
        <w:separator/>
      </w:r>
    </w:p>
  </w:footnote>
  <w:footnote w:type="continuationSeparator" w:id="0">
    <w:p w14:paraId="1DCEE1B3" w14:textId="77777777" w:rsidR="00870D3F" w:rsidRDefault="00870D3F" w:rsidP="004C2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DF4FDF"/>
    <w:multiLevelType w:val="hybridMultilevel"/>
    <w:tmpl w:val="ADBCB18A"/>
    <w:lvl w:ilvl="0" w:tplc="3B28F124">
      <w:start w:val="1"/>
      <w:numFmt w:val="decimal"/>
      <w:pStyle w:val="NUMLIST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3944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1EE"/>
    <w:rsid w:val="00277B2A"/>
    <w:rsid w:val="0035523E"/>
    <w:rsid w:val="00356166"/>
    <w:rsid w:val="003C4F96"/>
    <w:rsid w:val="003F50D7"/>
    <w:rsid w:val="004C21EE"/>
    <w:rsid w:val="007300EA"/>
    <w:rsid w:val="00784F78"/>
    <w:rsid w:val="00870D3F"/>
    <w:rsid w:val="00932426"/>
    <w:rsid w:val="0098396F"/>
    <w:rsid w:val="00A02593"/>
    <w:rsid w:val="00A117D2"/>
    <w:rsid w:val="00A120BB"/>
    <w:rsid w:val="00AF78A4"/>
    <w:rsid w:val="00B0788E"/>
    <w:rsid w:val="00B1243E"/>
    <w:rsid w:val="00CA427D"/>
    <w:rsid w:val="00D83DB4"/>
    <w:rsid w:val="00E047A7"/>
    <w:rsid w:val="00F251D5"/>
    <w:rsid w:val="00F74EE9"/>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0BE70"/>
  <w15:chartTrackingRefBased/>
  <w15:docId w15:val="{9CA2E02A-ADC2-874F-AC84-E4D339A58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1EE"/>
    <w:pPr>
      <w:widowControl w:val="0"/>
      <w:autoSpaceDE w:val="0"/>
      <w:autoSpaceDN w:val="0"/>
    </w:pPr>
    <w:rPr>
      <w:rFonts w:ascii="Times New Roman" w:eastAsia="Times New Roman" w:hAnsi="Times New Roman" w:cs="Times New Roman"/>
      <w:sz w:val="22"/>
      <w:szCs w:val="22"/>
      <w:lang w:val="en-US"/>
    </w:rPr>
  </w:style>
  <w:style w:type="paragraph" w:styleId="Heading1">
    <w:name w:val="heading 1"/>
    <w:basedOn w:val="Normal"/>
    <w:next w:val="Normal"/>
    <w:link w:val="Heading1Char"/>
    <w:uiPriority w:val="9"/>
    <w:qFormat/>
    <w:rsid w:val="003F50D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4C21EE"/>
    <w:pPr>
      <w:spacing w:line="229" w:lineRule="exact"/>
      <w:ind w:left="1532"/>
      <w:jc w:val="center"/>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C21EE"/>
    <w:rPr>
      <w:sz w:val="20"/>
      <w:szCs w:val="20"/>
    </w:rPr>
  </w:style>
  <w:style w:type="character" w:customStyle="1" w:styleId="BodyTextChar">
    <w:name w:val="Body Text Char"/>
    <w:basedOn w:val="DefaultParagraphFont"/>
    <w:link w:val="BodyText"/>
    <w:uiPriority w:val="1"/>
    <w:rsid w:val="004C21EE"/>
    <w:rPr>
      <w:rFonts w:ascii="Times New Roman" w:eastAsia="Times New Roman" w:hAnsi="Times New Roman" w:cs="Times New Roman"/>
      <w:sz w:val="20"/>
      <w:szCs w:val="20"/>
      <w:lang w:val="en-US"/>
    </w:rPr>
  </w:style>
  <w:style w:type="paragraph" w:styleId="Footer">
    <w:name w:val="footer"/>
    <w:basedOn w:val="Normal"/>
    <w:link w:val="FooterChar"/>
    <w:unhideWhenUsed/>
    <w:rsid w:val="004C21EE"/>
    <w:pPr>
      <w:tabs>
        <w:tab w:val="center" w:pos="4819"/>
        <w:tab w:val="right" w:pos="9638"/>
      </w:tabs>
    </w:pPr>
  </w:style>
  <w:style w:type="character" w:customStyle="1" w:styleId="FooterChar">
    <w:name w:val="Footer Char"/>
    <w:basedOn w:val="DefaultParagraphFont"/>
    <w:link w:val="Footer"/>
    <w:uiPriority w:val="99"/>
    <w:rsid w:val="004C21EE"/>
    <w:rPr>
      <w:rFonts w:ascii="Times New Roman" w:eastAsia="Times New Roman" w:hAnsi="Times New Roman" w:cs="Times New Roman"/>
      <w:sz w:val="22"/>
      <w:szCs w:val="22"/>
      <w:lang w:val="en-US"/>
    </w:rPr>
  </w:style>
  <w:style w:type="character" w:styleId="PageNumber">
    <w:name w:val="page number"/>
    <w:basedOn w:val="DefaultParagraphFont"/>
    <w:uiPriority w:val="99"/>
    <w:semiHidden/>
    <w:unhideWhenUsed/>
    <w:rsid w:val="004C21EE"/>
  </w:style>
  <w:style w:type="character" w:customStyle="1" w:styleId="Heading2Char">
    <w:name w:val="Heading 2 Char"/>
    <w:basedOn w:val="DefaultParagraphFont"/>
    <w:link w:val="Heading2"/>
    <w:uiPriority w:val="9"/>
    <w:rsid w:val="004C21EE"/>
    <w:rPr>
      <w:rFonts w:ascii="Times New Roman" w:eastAsia="Times New Roman" w:hAnsi="Times New Roman" w:cs="Times New Roman"/>
      <w:b/>
      <w:bCs/>
      <w:sz w:val="20"/>
      <w:szCs w:val="20"/>
      <w:lang w:val="en-US"/>
    </w:rPr>
  </w:style>
  <w:style w:type="table" w:customStyle="1" w:styleId="TableNormal1">
    <w:name w:val="Table Normal1"/>
    <w:uiPriority w:val="2"/>
    <w:semiHidden/>
    <w:unhideWhenUsed/>
    <w:qFormat/>
    <w:rsid w:val="004C21EE"/>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HEADING10">
    <w:name w:val="HEADING1"/>
    <w:basedOn w:val="Normal"/>
    <w:rsid w:val="004C21EE"/>
    <w:pPr>
      <w:widowControl/>
      <w:autoSpaceDE/>
      <w:autoSpaceDN/>
      <w:spacing w:before="240" w:line="480" w:lineRule="auto"/>
      <w:jc w:val="center"/>
      <w:outlineLvl w:val="0"/>
    </w:pPr>
    <w:rPr>
      <w:b/>
      <w:caps/>
      <w:sz w:val="24"/>
      <w:szCs w:val="24"/>
    </w:rPr>
  </w:style>
  <w:style w:type="paragraph" w:customStyle="1" w:styleId="BODYPARA">
    <w:name w:val="BODY_PARA"/>
    <w:basedOn w:val="Normal"/>
    <w:rsid w:val="004C21EE"/>
    <w:pPr>
      <w:widowControl/>
      <w:autoSpaceDE/>
      <w:autoSpaceDN/>
      <w:spacing w:line="480" w:lineRule="auto"/>
      <w:ind w:firstLine="187"/>
      <w:jc w:val="both"/>
    </w:pPr>
    <w:rPr>
      <w:sz w:val="24"/>
      <w:szCs w:val="24"/>
    </w:rPr>
  </w:style>
  <w:style w:type="paragraph" w:customStyle="1" w:styleId="HEADING20">
    <w:name w:val="HEADING2"/>
    <w:basedOn w:val="Normal"/>
    <w:rsid w:val="004C21EE"/>
    <w:pPr>
      <w:widowControl/>
      <w:autoSpaceDE/>
      <w:autoSpaceDN/>
      <w:outlineLvl w:val="1"/>
    </w:pPr>
    <w:rPr>
      <w:b/>
      <w:sz w:val="24"/>
      <w:szCs w:val="24"/>
    </w:rPr>
  </w:style>
  <w:style w:type="paragraph" w:customStyle="1" w:styleId="BODYNOINDENT">
    <w:name w:val="BODY_NO_INDENT"/>
    <w:basedOn w:val="Normal"/>
    <w:rsid w:val="004C21EE"/>
    <w:pPr>
      <w:widowControl/>
      <w:autoSpaceDE/>
      <w:autoSpaceDN/>
      <w:spacing w:line="480" w:lineRule="auto"/>
      <w:jc w:val="both"/>
    </w:pPr>
    <w:rPr>
      <w:sz w:val="24"/>
      <w:szCs w:val="24"/>
    </w:rPr>
  </w:style>
  <w:style w:type="paragraph" w:customStyle="1" w:styleId="TABLEBODY">
    <w:name w:val="TABLE_BODY"/>
    <w:basedOn w:val="Normal"/>
    <w:rsid w:val="004C21EE"/>
    <w:pPr>
      <w:widowControl/>
      <w:autoSpaceDE/>
      <w:autoSpaceDN/>
      <w:jc w:val="center"/>
    </w:pPr>
    <w:rPr>
      <w:sz w:val="24"/>
      <w:szCs w:val="24"/>
    </w:rPr>
  </w:style>
  <w:style w:type="paragraph" w:customStyle="1" w:styleId="TABLEFOOTNOTE">
    <w:name w:val="TABLE_FOOTNOTE"/>
    <w:basedOn w:val="Normal"/>
    <w:rsid w:val="004C21EE"/>
    <w:pPr>
      <w:widowControl/>
      <w:autoSpaceDE/>
      <w:autoSpaceDN/>
      <w:jc w:val="both"/>
    </w:pPr>
    <w:rPr>
      <w:sz w:val="24"/>
      <w:szCs w:val="24"/>
    </w:rPr>
  </w:style>
  <w:style w:type="paragraph" w:customStyle="1" w:styleId="TABLETITLE">
    <w:name w:val="TABLE_TITLE"/>
    <w:basedOn w:val="Normal"/>
    <w:rsid w:val="004C21EE"/>
    <w:pPr>
      <w:widowControl/>
      <w:autoSpaceDE/>
      <w:autoSpaceDN/>
      <w:outlineLvl w:val="0"/>
    </w:pPr>
    <w:rPr>
      <w:b/>
      <w:sz w:val="24"/>
      <w:szCs w:val="24"/>
    </w:rPr>
  </w:style>
  <w:style w:type="paragraph" w:customStyle="1" w:styleId="FIGCAPTION">
    <w:name w:val="FIG_CAPTION"/>
    <w:basedOn w:val="Normal"/>
    <w:rsid w:val="004C21EE"/>
    <w:pPr>
      <w:widowControl/>
      <w:autoSpaceDE/>
      <w:autoSpaceDN/>
      <w:spacing w:line="480" w:lineRule="auto"/>
      <w:jc w:val="both"/>
    </w:pPr>
    <w:rPr>
      <w:i/>
      <w:sz w:val="24"/>
      <w:szCs w:val="24"/>
    </w:rPr>
  </w:style>
  <w:style w:type="paragraph" w:customStyle="1" w:styleId="EQUATION">
    <w:name w:val="EQUATION"/>
    <w:basedOn w:val="Normal"/>
    <w:rsid w:val="003F50D7"/>
    <w:pPr>
      <w:widowControl/>
      <w:tabs>
        <w:tab w:val="right" w:pos="9000"/>
      </w:tabs>
      <w:autoSpaceDE/>
      <w:autoSpaceDN/>
      <w:spacing w:before="240" w:after="240" w:line="480" w:lineRule="auto"/>
    </w:pPr>
    <w:rPr>
      <w:sz w:val="24"/>
      <w:szCs w:val="24"/>
    </w:rPr>
  </w:style>
  <w:style w:type="paragraph" w:customStyle="1" w:styleId="BODYCONTINUED">
    <w:name w:val="BODY_CONTINUED"/>
    <w:basedOn w:val="Normal"/>
    <w:rsid w:val="003F50D7"/>
    <w:pPr>
      <w:widowControl/>
      <w:autoSpaceDE/>
      <w:autoSpaceDN/>
      <w:spacing w:line="480" w:lineRule="auto"/>
      <w:jc w:val="both"/>
    </w:pPr>
    <w:rPr>
      <w:sz w:val="24"/>
      <w:szCs w:val="24"/>
    </w:rPr>
  </w:style>
  <w:style w:type="paragraph" w:customStyle="1" w:styleId="NOTATION">
    <w:name w:val="NOTATION"/>
    <w:basedOn w:val="Normal"/>
    <w:rsid w:val="003F50D7"/>
    <w:pPr>
      <w:widowControl/>
      <w:autoSpaceDE/>
      <w:autoSpaceDN/>
      <w:spacing w:line="480" w:lineRule="auto"/>
      <w:jc w:val="both"/>
    </w:pPr>
    <w:rPr>
      <w:sz w:val="24"/>
      <w:szCs w:val="24"/>
    </w:rPr>
  </w:style>
  <w:style w:type="character" w:customStyle="1" w:styleId="Heading1Char">
    <w:name w:val="Heading 1 Char"/>
    <w:basedOn w:val="DefaultParagraphFont"/>
    <w:link w:val="Heading1"/>
    <w:uiPriority w:val="9"/>
    <w:rsid w:val="003F50D7"/>
    <w:rPr>
      <w:rFonts w:asciiTheme="majorHAnsi" w:eastAsiaTheme="majorEastAsia" w:hAnsiTheme="majorHAnsi" w:cstheme="majorBidi"/>
      <w:color w:val="2F5496" w:themeColor="accent1" w:themeShade="BF"/>
      <w:sz w:val="32"/>
      <w:szCs w:val="32"/>
      <w:lang w:val="en-US"/>
    </w:rPr>
  </w:style>
  <w:style w:type="paragraph" w:customStyle="1" w:styleId="NUMLIST1">
    <w:name w:val="NUM_LIST1"/>
    <w:basedOn w:val="Normal"/>
    <w:rsid w:val="003F50D7"/>
    <w:pPr>
      <w:widowControl/>
      <w:numPr>
        <w:numId w:val="1"/>
      </w:numPr>
      <w:tabs>
        <w:tab w:val="left" w:pos="30"/>
      </w:tabs>
      <w:autoSpaceDE/>
      <w:autoSpaceDN/>
      <w:spacing w:line="480" w:lineRule="auto"/>
      <w:jc w:val="both"/>
    </w:pPr>
    <w:rPr>
      <w:sz w:val="24"/>
      <w:szCs w:val="24"/>
    </w:rPr>
  </w:style>
  <w:style w:type="paragraph" w:customStyle="1" w:styleId="NOTATIONHEADING">
    <w:name w:val="NOTATION_HEADING"/>
    <w:basedOn w:val="HEADING10"/>
    <w:rsid w:val="003F50D7"/>
  </w:style>
  <w:style w:type="paragraph" w:customStyle="1" w:styleId="REFERENCES">
    <w:name w:val="REFERENCES"/>
    <w:basedOn w:val="Normal"/>
    <w:rsid w:val="003F50D7"/>
    <w:pPr>
      <w:widowControl/>
      <w:autoSpaceDE/>
      <w:autoSpaceDN/>
      <w:spacing w:line="480" w:lineRule="auto"/>
      <w:ind w:left="14"/>
      <w:jc w:val="both"/>
    </w:pPr>
    <w:rPr>
      <w:sz w:val="24"/>
      <w:szCs w:val="24"/>
    </w:rPr>
  </w:style>
  <w:style w:type="paragraph" w:customStyle="1" w:styleId="REFERENCESHEADING">
    <w:name w:val="REFERENCES_HEADING"/>
    <w:basedOn w:val="HEADING10"/>
    <w:rsid w:val="003F50D7"/>
  </w:style>
  <w:style w:type="character" w:styleId="LineNumber">
    <w:name w:val="line number"/>
    <w:basedOn w:val="DefaultParagraphFont"/>
    <w:uiPriority w:val="99"/>
    <w:semiHidden/>
    <w:unhideWhenUsed/>
    <w:rsid w:val="00AF7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1213</Words>
  <Characters>6918</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Denny Coffetti</dc:creator>
  <cp:keywords/>
  <dc:description/>
  <cp:lastModifiedBy>Microsoft Office User</cp:lastModifiedBy>
  <cp:revision>6</cp:revision>
  <cp:lastPrinted>2020-08-31T10:33:00Z</cp:lastPrinted>
  <dcterms:created xsi:type="dcterms:W3CDTF">2024-10-08T15:24:00Z</dcterms:created>
  <dcterms:modified xsi:type="dcterms:W3CDTF">2025-04-06T19:56:00Z</dcterms:modified>
</cp:coreProperties>
</file>